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D70" w:rsidRPr="00D87948" w:rsidRDefault="00D87948" w:rsidP="00D8794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948">
        <w:rPr>
          <w:rFonts w:ascii="Times New Roman" w:hAnsi="Times New Roman" w:cs="Times New Roman"/>
          <w:b/>
          <w:sz w:val="24"/>
          <w:szCs w:val="24"/>
        </w:rPr>
        <w:t>Perguntas – Seminário 3 – 18/05/2018</w:t>
      </w:r>
    </w:p>
    <w:p w:rsidR="0094449C" w:rsidRPr="00D87948" w:rsidRDefault="0094449C" w:rsidP="00D879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49C" w:rsidRPr="006E2A25" w:rsidRDefault="0094449C" w:rsidP="006E2A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48">
        <w:rPr>
          <w:rFonts w:ascii="Times New Roman" w:hAnsi="Times New Roman" w:cs="Times New Roman"/>
          <w:sz w:val="24"/>
          <w:szCs w:val="24"/>
        </w:rPr>
        <w:t xml:space="preserve">Seria a flexibilidade no cumprimento da decisão, concedida pela Suprema Corte dos EUA às instituições educacionais no caso </w:t>
      </w:r>
      <w:r w:rsidRPr="00D87948">
        <w:rPr>
          <w:rFonts w:ascii="Times New Roman" w:hAnsi="Times New Roman" w:cs="Times New Roman"/>
          <w:i/>
          <w:sz w:val="24"/>
          <w:szCs w:val="24"/>
        </w:rPr>
        <w:t>Brown II</w:t>
      </w:r>
      <w:r w:rsidRPr="00D87948">
        <w:rPr>
          <w:rFonts w:ascii="Times New Roman" w:hAnsi="Times New Roman" w:cs="Times New Roman"/>
          <w:sz w:val="24"/>
          <w:szCs w:val="24"/>
        </w:rPr>
        <w:t>, um modelo a ser adotado no Brasil, a fim de ser garantida maior eficácia às decisões em ações coletivas que condenem o ente público a garantir o direito à educação infantil? Responda criticamente.</w:t>
      </w:r>
      <w:bookmarkStart w:id="0" w:name="_GoBack"/>
      <w:bookmarkEnd w:id="0"/>
    </w:p>
    <w:p w:rsidR="00FC5D70" w:rsidRPr="00D87948" w:rsidRDefault="00FC5D70" w:rsidP="00D879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48" w:rsidRPr="00E37CB3" w:rsidRDefault="00FC5D70" w:rsidP="00E37C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48">
        <w:rPr>
          <w:rFonts w:ascii="Times New Roman" w:hAnsi="Times New Roman" w:cs="Times New Roman"/>
          <w:sz w:val="24"/>
          <w:szCs w:val="24"/>
        </w:rPr>
        <w:t>Em reportagem</w:t>
      </w:r>
      <w:r w:rsidRPr="00D87948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D87948">
        <w:rPr>
          <w:rFonts w:ascii="Times New Roman" w:hAnsi="Times New Roman" w:cs="Times New Roman"/>
          <w:sz w:val="24"/>
          <w:szCs w:val="24"/>
        </w:rPr>
        <w:t xml:space="preserve"> escrita por Livia </w:t>
      </w:r>
      <w:proofErr w:type="spellStart"/>
      <w:r w:rsidRPr="00D87948">
        <w:rPr>
          <w:rFonts w:ascii="Times New Roman" w:hAnsi="Times New Roman" w:cs="Times New Roman"/>
          <w:sz w:val="24"/>
          <w:szCs w:val="24"/>
        </w:rPr>
        <w:t>Scocuglia</w:t>
      </w:r>
      <w:proofErr w:type="spellEnd"/>
      <w:r w:rsidRPr="00D87948">
        <w:rPr>
          <w:rFonts w:ascii="Times New Roman" w:hAnsi="Times New Roman" w:cs="Times New Roman"/>
          <w:sz w:val="24"/>
          <w:szCs w:val="24"/>
        </w:rPr>
        <w:t xml:space="preserve"> ao Consultor Jurídico, em 04/09/2013, foi mencionado que Ada Grinover criticou a falta de diálogo entre juízes e autoridades públicas, pois “...</w:t>
      </w:r>
      <w:r w:rsidRPr="00D87948">
        <w:rPr>
          <w:rFonts w:ascii="Times New Roman" w:hAnsi="Times New Roman" w:cs="Times New Roman"/>
          <w:i/>
          <w:sz w:val="24"/>
          <w:szCs w:val="24"/>
        </w:rPr>
        <w:t>esses atores poderiam tornar as sentenças mais justas e exequíveis, sabendo que diversas decisões não podem ser executadas por falta de orçamento, estrutura e equipamentos, por exemplo</w:t>
      </w:r>
      <w:r w:rsidRPr="00D87948">
        <w:rPr>
          <w:rFonts w:ascii="Times New Roman" w:hAnsi="Times New Roman" w:cs="Times New Roman"/>
          <w:sz w:val="24"/>
          <w:szCs w:val="24"/>
        </w:rPr>
        <w:t>”. Nesse sentido, SOUZA (2017) relatou que a decisão do caso estudado adotou diretrizes em busca de uma reforma estrutural que se apoiou em uma descentralização do poder de decisão e fiscalização para os tribunais locais. Esse tipo de postura seria possível e recomendável a um país como o Brasil, considerando sua dimensão geográfica e sua organização política e judiciária?</w:t>
      </w:r>
    </w:p>
    <w:p w:rsidR="00D87948" w:rsidRDefault="00D87948" w:rsidP="00D8794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948" w:rsidRPr="00D87948" w:rsidRDefault="00D87948" w:rsidP="00D879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48">
        <w:rPr>
          <w:rFonts w:ascii="Times New Roman" w:hAnsi="Times New Roman" w:cs="Times New Roman"/>
          <w:sz w:val="24"/>
          <w:szCs w:val="24"/>
        </w:rPr>
        <w:t xml:space="preserve">O texto do Fernando Garcia Souza trata, em grande medida, da eficácia da sentença em ações coletivas de alta complexidade e abrangência. Igualmente, é identificado pela Susana Costa a dificuldade de eficácia (dimensão substancial) das decisões prolatadas em processos de interesse transindividual. A decisão das </w:t>
      </w:r>
      <w:r w:rsidRPr="00D87948">
        <w:rPr>
          <w:rFonts w:ascii="Times New Roman" w:hAnsi="Times New Roman" w:cs="Times New Roman"/>
          <w:i/>
          <w:sz w:val="24"/>
          <w:szCs w:val="24"/>
        </w:rPr>
        <w:t xml:space="preserve">class </w:t>
      </w:r>
      <w:proofErr w:type="spellStart"/>
      <w:r w:rsidRPr="00D87948">
        <w:rPr>
          <w:rFonts w:ascii="Times New Roman" w:hAnsi="Times New Roman" w:cs="Times New Roman"/>
          <w:i/>
          <w:sz w:val="24"/>
          <w:szCs w:val="24"/>
        </w:rPr>
        <w:t>actions</w:t>
      </w:r>
      <w:proofErr w:type="spellEnd"/>
      <w:r w:rsidRPr="00D87948">
        <w:rPr>
          <w:rFonts w:ascii="Times New Roman" w:hAnsi="Times New Roman" w:cs="Times New Roman"/>
          <w:i/>
          <w:sz w:val="24"/>
          <w:szCs w:val="24"/>
        </w:rPr>
        <w:t xml:space="preserve">, caso Brown vs </w:t>
      </w:r>
      <w:proofErr w:type="spellStart"/>
      <w:r w:rsidRPr="00D87948">
        <w:rPr>
          <w:rFonts w:ascii="Times New Roman" w:hAnsi="Times New Roman" w:cs="Times New Roman"/>
          <w:i/>
          <w:sz w:val="24"/>
          <w:szCs w:val="24"/>
        </w:rPr>
        <w:t>Board</w:t>
      </w:r>
      <w:proofErr w:type="spellEnd"/>
      <w:r w:rsidRPr="00D87948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D87948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Pr="00D87948">
        <w:rPr>
          <w:rFonts w:ascii="Times New Roman" w:hAnsi="Times New Roman" w:cs="Times New Roman"/>
          <w:sz w:val="24"/>
          <w:szCs w:val="24"/>
        </w:rPr>
        <w:t xml:space="preserve">, foi complexa e muito detalhada, como resposta à complexidade do caso. Se por um lado, a Corte reconhece as suas limitações, descentralizando a decisão e a fiscalização para os tribunais locais, com o intuito de dar mais efetividade à decisão, por outro, a mudança na realidade social foi percebida somente dez anos depois, tendo em vista, segundo a crítica, a flexibilização excessiva da Suprema Corte na implementação da decisão. Dessa forma, em ações de alta complexidade </w:t>
      </w:r>
      <w:r w:rsidR="00265DDE">
        <w:rPr>
          <w:rFonts w:ascii="Times New Roman" w:hAnsi="Times New Roman" w:cs="Times New Roman"/>
          <w:sz w:val="24"/>
          <w:szCs w:val="24"/>
        </w:rPr>
        <w:t xml:space="preserve">e </w:t>
      </w:r>
      <w:r w:rsidR="00265DDE" w:rsidRPr="00D87948">
        <w:rPr>
          <w:rFonts w:ascii="Times New Roman" w:hAnsi="Times New Roman" w:cs="Times New Roman"/>
          <w:sz w:val="24"/>
          <w:szCs w:val="24"/>
        </w:rPr>
        <w:t>abrangência</w:t>
      </w:r>
      <w:r w:rsidRPr="00D87948">
        <w:rPr>
          <w:rFonts w:ascii="Times New Roman" w:hAnsi="Times New Roman" w:cs="Times New Roman"/>
          <w:sz w:val="24"/>
          <w:szCs w:val="24"/>
        </w:rPr>
        <w:t xml:space="preserve"> nacional, recomenda-se prolação de uma sentença mais específica e incisiva do judiciário, ou uma atuação mais descentralizadora que reconhece os seus limites de implementação de </w:t>
      </w:r>
      <w:r w:rsidR="00265DDE" w:rsidRPr="00D87948">
        <w:rPr>
          <w:rFonts w:ascii="Times New Roman" w:hAnsi="Times New Roman" w:cs="Times New Roman"/>
          <w:sz w:val="24"/>
          <w:szCs w:val="24"/>
        </w:rPr>
        <w:t>políticas</w:t>
      </w:r>
      <w:r w:rsidRPr="00D87948">
        <w:rPr>
          <w:rFonts w:ascii="Times New Roman" w:hAnsi="Times New Roman" w:cs="Times New Roman"/>
          <w:sz w:val="24"/>
          <w:szCs w:val="24"/>
        </w:rPr>
        <w:t xml:space="preserve"> públicas e monitoramento?</w:t>
      </w:r>
    </w:p>
    <w:p w:rsidR="00D87948" w:rsidRPr="00D87948" w:rsidRDefault="00D87948" w:rsidP="00D8794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87948" w:rsidRPr="00D87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615" w:rsidRDefault="00687615" w:rsidP="00FC5D70">
      <w:pPr>
        <w:spacing w:after="0" w:line="240" w:lineRule="auto"/>
      </w:pPr>
      <w:r>
        <w:separator/>
      </w:r>
    </w:p>
  </w:endnote>
  <w:endnote w:type="continuationSeparator" w:id="0">
    <w:p w:rsidR="00687615" w:rsidRDefault="00687615" w:rsidP="00FC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615" w:rsidRDefault="00687615" w:rsidP="00FC5D70">
      <w:pPr>
        <w:spacing w:after="0" w:line="240" w:lineRule="auto"/>
      </w:pPr>
      <w:r>
        <w:separator/>
      </w:r>
    </w:p>
  </w:footnote>
  <w:footnote w:type="continuationSeparator" w:id="0">
    <w:p w:rsidR="00687615" w:rsidRDefault="00687615" w:rsidP="00FC5D70">
      <w:pPr>
        <w:spacing w:after="0" w:line="240" w:lineRule="auto"/>
      </w:pPr>
      <w:r>
        <w:continuationSeparator/>
      </w:r>
    </w:p>
  </w:footnote>
  <w:footnote w:id="1">
    <w:p w:rsidR="00FC5D70" w:rsidRDefault="00FC5D70" w:rsidP="00FC5D7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proofErr w:type="spellStart"/>
      <w:r>
        <w:rPr>
          <w:color w:val="222222"/>
          <w:shd w:val="clear" w:color="auto" w:fill="FFFFFF"/>
        </w:rPr>
        <w:t>SCOCUGLIA</w:t>
      </w:r>
      <w:proofErr w:type="spellEnd"/>
      <w:r>
        <w:rPr>
          <w:color w:val="222222"/>
          <w:shd w:val="clear" w:color="auto" w:fill="FFFFFF"/>
        </w:rPr>
        <w:t>, Livia. </w:t>
      </w:r>
      <w:r>
        <w:rPr>
          <w:rStyle w:val="Forte"/>
          <w:color w:val="222222"/>
          <w:shd w:val="clear" w:color="auto" w:fill="FFFFFF"/>
        </w:rPr>
        <w:t>Política pública deve ser discutida em ação coletiva. </w:t>
      </w:r>
      <w:r>
        <w:rPr>
          <w:color w:val="222222"/>
          <w:shd w:val="clear" w:color="auto" w:fill="FFFFFF"/>
        </w:rPr>
        <w:t>2013. Disponível em: &lt;https://www.conjur.com.br/2013-set-04/politica-publica-discutida-acao-coletiva-ada-grinover&gt;. Acesso em: 16 maio 2018.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E1E7C"/>
    <w:multiLevelType w:val="hybridMultilevel"/>
    <w:tmpl w:val="E5FC9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806B7"/>
    <w:multiLevelType w:val="hybridMultilevel"/>
    <w:tmpl w:val="122EC7D8"/>
    <w:lvl w:ilvl="0" w:tplc="A6D4ABD8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9C"/>
    <w:rsid w:val="00265DDE"/>
    <w:rsid w:val="002A3EA5"/>
    <w:rsid w:val="004160CC"/>
    <w:rsid w:val="00687615"/>
    <w:rsid w:val="006B3119"/>
    <w:rsid w:val="006E2A25"/>
    <w:rsid w:val="0094449C"/>
    <w:rsid w:val="00D87948"/>
    <w:rsid w:val="00E37CB3"/>
    <w:rsid w:val="00FC3E18"/>
    <w:rsid w:val="00FC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4C2A"/>
  <w15:chartTrackingRefBased/>
  <w15:docId w15:val="{3F12E52B-A45D-4219-96F5-E4C28460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444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C5D7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C5D70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FC5D70"/>
    <w:pPr>
      <w:spacing w:line="256" w:lineRule="auto"/>
      <w:ind w:left="720"/>
      <w:contextualSpacing/>
    </w:pPr>
  </w:style>
  <w:style w:type="character" w:styleId="Refdenotaderodap">
    <w:name w:val="footnote reference"/>
    <w:basedOn w:val="Fontepargpadro"/>
    <w:uiPriority w:val="99"/>
    <w:semiHidden/>
    <w:unhideWhenUsed/>
    <w:rsid w:val="00FC5D70"/>
    <w:rPr>
      <w:vertAlign w:val="superscript"/>
    </w:rPr>
  </w:style>
  <w:style w:type="character" w:styleId="Forte">
    <w:name w:val="Strong"/>
    <w:basedOn w:val="Fontepargpadro"/>
    <w:uiPriority w:val="22"/>
    <w:qFormat/>
    <w:rsid w:val="00FC5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1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Noronha</dc:creator>
  <cp:keywords/>
  <dc:description/>
  <cp:lastModifiedBy>Susana Henriques da Costa</cp:lastModifiedBy>
  <cp:revision>5</cp:revision>
  <dcterms:created xsi:type="dcterms:W3CDTF">2018-05-17T16:12:00Z</dcterms:created>
  <dcterms:modified xsi:type="dcterms:W3CDTF">2018-05-17T16:16:00Z</dcterms:modified>
</cp:coreProperties>
</file>