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26FB9" w14:textId="77777777" w:rsidR="009B2741" w:rsidRPr="004F35E6" w:rsidRDefault="009B2741" w:rsidP="004F35E6">
      <w:pPr>
        <w:spacing w:line="240" w:lineRule="auto"/>
        <w:rPr>
          <w:rFonts w:ascii="Arial" w:hAnsi="Arial" w:cs="Arial"/>
          <w:b/>
          <w:bCs/>
          <w:sz w:val="28"/>
          <w:szCs w:val="28"/>
          <w:lang w:val="en-US"/>
        </w:rPr>
      </w:pPr>
      <w:bookmarkStart w:id="0" w:name="_GoBack"/>
      <w:bookmarkEnd w:id="0"/>
      <w:r w:rsidRPr="004F35E6">
        <w:rPr>
          <w:rFonts w:ascii="Arial" w:hAnsi="Arial" w:cs="Arial"/>
          <w:b/>
          <w:bCs/>
          <w:sz w:val="28"/>
          <w:szCs w:val="28"/>
          <w:lang w:val="en-US"/>
        </w:rPr>
        <w:t xml:space="preserve">The </w:t>
      </w:r>
      <w:r w:rsidR="004F35E6" w:rsidRPr="004F35E6">
        <w:rPr>
          <w:rFonts w:ascii="Arial" w:hAnsi="Arial" w:cs="Arial"/>
          <w:b/>
          <w:bCs/>
          <w:sz w:val="28"/>
          <w:szCs w:val="28"/>
          <w:lang w:val="en-US"/>
        </w:rPr>
        <w:t>I</w:t>
      </w:r>
      <w:r w:rsidRPr="004F35E6">
        <w:rPr>
          <w:rFonts w:ascii="Arial" w:hAnsi="Arial" w:cs="Arial"/>
          <w:b/>
          <w:bCs/>
          <w:sz w:val="28"/>
          <w:szCs w:val="28"/>
          <w:lang w:val="en-US"/>
        </w:rPr>
        <w:t>mpact of WTO Case Law on the use of Local Content Requirements</w:t>
      </w:r>
    </w:p>
    <w:p w14:paraId="1494DF9B" w14:textId="77777777" w:rsidR="009B2741" w:rsidRPr="00C848F3" w:rsidRDefault="009B2741" w:rsidP="004F35E6">
      <w:pPr>
        <w:spacing w:line="240" w:lineRule="auto"/>
        <w:rPr>
          <w:rFonts w:ascii="Arial" w:hAnsi="Arial" w:cs="Arial"/>
          <w:b/>
          <w:lang w:val="en-US"/>
        </w:rPr>
      </w:pPr>
      <w:r w:rsidRPr="00C848F3">
        <w:rPr>
          <w:rFonts w:ascii="Arial" w:hAnsi="Arial" w:cs="Arial"/>
          <w:b/>
          <w:lang w:val="en-US"/>
        </w:rPr>
        <w:t>Umberto Celli J</w:t>
      </w:r>
      <w:r w:rsidR="00795C72" w:rsidRPr="00C848F3">
        <w:rPr>
          <w:rFonts w:ascii="Arial" w:hAnsi="Arial" w:cs="Arial"/>
          <w:b/>
          <w:lang w:val="en-US"/>
        </w:rPr>
        <w:t>unior</w:t>
      </w:r>
      <w:r w:rsidRPr="00C848F3">
        <w:rPr>
          <w:rStyle w:val="Refdenotaderodap"/>
          <w:rFonts w:ascii="Arial" w:hAnsi="Arial" w:cs="Arial"/>
          <w:b/>
          <w:lang w:val="en-US"/>
        </w:rPr>
        <w:footnoteReference w:customMarkFollows="1" w:id="1"/>
        <w:t>⃰</w:t>
      </w:r>
    </w:p>
    <w:p w14:paraId="2E52F728" w14:textId="77777777" w:rsidR="009B2741" w:rsidRPr="004F35E6" w:rsidRDefault="009B2741" w:rsidP="004F35E6">
      <w:pPr>
        <w:spacing w:line="240" w:lineRule="auto"/>
        <w:rPr>
          <w:rFonts w:ascii="Arial" w:hAnsi="Arial" w:cs="Arial"/>
          <w:lang w:val="en-US"/>
        </w:rPr>
      </w:pPr>
    </w:p>
    <w:p w14:paraId="3FE075B3" w14:textId="77777777" w:rsidR="005B5A58" w:rsidRPr="004F35E6" w:rsidRDefault="00556BC0" w:rsidP="00BD7FAE">
      <w:pPr>
        <w:tabs>
          <w:tab w:val="num" w:pos="720"/>
          <w:tab w:val="num" w:pos="1440"/>
        </w:tabs>
        <w:spacing w:line="240" w:lineRule="auto"/>
        <w:jc w:val="both"/>
        <w:rPr>
          <w:rFonts w:ascii="Arial" w:hAnsi="Arial" w:cs="Arial"/>
          <w:lang w:val="en-US"/>
        </w:rPr>
      </w:pPr>
      <w:bookmarkStart w:id="1" w:name="_Hlk506219322"/>
      <w:r w:rsidRPr="00C848F3">
        <w:rPr>
          <w:rFonts w:ascii="Arial" w:hAnsi="Arial" w:cs="Arial"/>
          <w:b/>
          <w:sz w:val="24"/>
          <w:szCs w:val="24"/>
          <w:lang w:val="en-US"/>
        </w:rPr>
        <w:t>Abstract</w:t>
      </w:r>
      <w:r w:rsidRPr="004F35E6">
        <w:rPr>
          <w:rFonts w:ascii="Arial" w:hAnsi="Arial" w:cs="Arial"/>
          <w:b/>
          <w:lang w:val="en-US"/>
        </w:rPr>
        <w:t xml:space="preserve"> </w:t>
      </w:r>
      <w:r w:rsidR="00865479" w:rsidRPr="004F35E6">
        <w:rPr>
          <w:rFonts w:ascii="Arial" w:hAnsi="Arial" w:cs="Arial"/>
          <w:lang w:val="en-US"/>
        </w:rPr>
        <w:t>T</w:t>
      </w:r>
      <w:r w:rsidR="009B2741" w:rsidRPr="004F35E6">
        <w:rPr>
          <w:rFonts w:ascii="Arial" w:hAnsi="Arial" w:cs="Arial"/>
          <w:lang w:val="en-US"/>
        </w:rPr>
        <w:t xml:space="preserve">he </w:t>
      </w:r>
      <w:r w:rsidR="00EE2758" w:rsidRPr="004F35E6">
        <w:rPr>
          <w:rFonts w:ascii="Arial" w:hAnsi="Arial" w:cs="Arial"/>
          <w:lang w:val="en-US"/>
        </w:rPr>
        <w:t>WTO Agreements, to wit the Agreement on Subsidies and Countervailing Measures (</w:t>
      </w:r>
      <w:r w:rsidR="009B2741" w:rsidRPr="004F35E6">
        <w:rPr>
          <w:rFonts w:ascii="Arial" w:hAnsi="Arial" w:cs="Arial"/>
          <w:lang w:val="en-US"/>
        </w:rPr>
        <w:t>SCM</w:t>
      </w:r>
      <w:r w:rsidR="00EE2758" w:rsidRPr="004F35E6">
        <w:rPr>
          <w:rFonts w:ascii="Arial" w:hAnsi="Arial" w:cs="Arial"/>
          <w:lang w:val="en-US"/>
        </w:rPr>
        <w:t>)</w:t>
      </w:r>
      <w:r w:rsidR="009B2741" w:rsidRPr="004F35E6">
        <w:rPr>
          <w:rFonts w:ascii="Arial" w:hAnsi="Arial" w:cs="Arial"/>
          <w:lang w:val="en-US"/>
        </w:rPr>
        <w:t xml:space="preserve"> and the </w:t>
      </w:r>
      <w:r w:rsidR="00EE2758" w:rsidRPr="004F35E6">
        <w:rPr>
          <w:rFonts w:ascii="Arial" w:hAnsi="Arial" w:cs="Arial"/>
          <w:lang w:val="en-US"/>
        </w:rPr>
        <w:t>Trade Related Investment Measures (</w:t>
      </w:r>
      <w:r w:rsidR="009B2741" w:rsidRPr="004F35E6">
        <w:rPr>
          <w:rFonts w:ascii="Arial" w:hAnsi="Arial" w:cs="Arial"/>
          <w:lang w:val="en-US"/>
        </w:rPr>
        <w:t>TRIMs</w:t>
      </w:r>
      <w:r w:rsidR="00EE2758" w:rsidRPr="004F35E6">
        <w:rPr>
          <w:rFonts w:ascii="Arial" w:hAnsi="Arial" w:cs="Arial"/>
          <w:lang w:val="en-US"/>
        </w:rPr>
        <w:t>)</w:t>
      </w:r>
      <w:r w:rsidR="00840856" w:rsidRPr="004F35E6">
        <w:rPr>
          <w:rFonts w:ascii="Arial" w:hAnsi="Arial" w:cs="Arial"/>
          <w:lang w:val="en-US"/>
        </w:rPr>
        <w:t xml:space="preserve"> (applicable in conjunction</w:t>
      </w:r>
      <w:r w:rsidR="00865479" w:rsidRPr="004F35E6">
        <w:rPr>
          <w:rFonts w:ascii="Arial" w:hAnsi="Arial" w:cs="Arial"/>
          <w:lang w:val="en-US"/>
        </w:rPr>
        <w:t xml:space="preserve"> with the General Agreement on Tariffs and Trade (GATT 1994)</w:t>
      </w:r>
      <w:r w:rsidR="00840856" w:rsidRPr="004F35E6">
        <w:rPr>
          <w:rFonts w:ascii="Arial" w:hAnsi="Arial" w:cs="Arial"/>
          <w:lang w:val="en-US"/>
        </w:rPr>
        <w:t>)</w:t>
      </w:r>
      <w:r w:rsidR="00EE2758" w:rsidRPr="004F35E6">
        <w:rPr>
          <w:rFonts w:ascii="Arial" w:hAnsi="Arial" w:cs="Arial"/>
          <w:lang w:val="en-US"/>
        </w:rPr>
        <w:t>,</w:t>
      </w:r>
      <w:r w:rsidR="009B2741" w:rsidRPr="004F35E6">
        <w:rPr>
          <w:rFonts w:ascii="Arial" w:hAnsi="Arial" w:cs="Arial"/>
          <w:lang w:val="en-US"/>
        </w:rPr>
        <w:t xml:space="preserve"> contain prohibitions on the use by </w:t>
      </w:r>
      <w:r w:rsidR="000046B4">
        <w:rPr>
          <w:rFonts w:ascii="Arial" w:hAnsi="Arial" w:cs="Arial"/>
          <w:lang w:val="en-US"/>
        </w:rPr>
        <w:t xml:space="preserve">WTO </w:t>
      </w:r>
      <w:r w:rsidR="009B2741" w:rsidRPr="004F35E6">
        <w:rPr>
          <w:rFonts w:ascii="Arial" w:hAnsi="Arial" w:cs="Arial"/>
          <w:lang w:val="en-US"/>
        </w:rPr>
        <w:t xml:space="preserve">Members </w:t>
      </w:r>
      <w:r w:rsidR="000046B4">
        <w:rPr>
          <w:rFonts w:ascii="Arial" w:hAnsi="Arial" w:cs="Arial"/>
          <w:lang w:val="en-US"/>
        </w:rPr>
        <w:t xml:space="preserve">(Members) </w:t>
      </w:r>
      <w:r w:rsidR="009B2741" w:rsidRPr="004F35E6">
        <w:rPr>
          <w:rFonts w:ascii="Arial" w:hAnsi="Arial" w:cs="Arial"/>
          <w:lang w:val="en-US"/>
        </w:rPr>
        <w:t xml:space="preserve">of local content requirements (LCRs). LCRs are types of measures that condition the grant of a benefit, by means of subsidies or other kinds of incentives, on the use of domestic products and services. </w:t>
      </w:r>
      <w:r w:rsidR="00EE2758" w:rsidRPr="004F35E6">
        <w:rPr>
          <w:rFonts w:ascii="Arial" w:hAnsi="Arial" w:cs="Arial"/>
          <w:lang w:val="en-US"/>
        </w:rPr>
        <w:t xml:space="preserve">Although the SCM is more explicit as </w:t>
      </w:r>
      <w:r w:rsidR="00865479" w:rsidRPr="004F35E6">
        <w:rPr>
          <w:rFonts w:ascii="Arial" w:hAnsi="Arial" w:cs="Arial"/>
          <w:lang w:val="en-US"/>
        </w:rPr>
        <w:t>to</w:t>
      </w:r>
      <w:r w:rsidR="00EE2758" w:rsidRPr="004F35E6">
        <w:rPr>
          <w:rFonts w:ascii="Arial" w:hAnsi="Arial" w:cs="Arial"/>
          <w:lang w:val="en-US"/>
        </w:rPr>
        <w:t xml:space="preserve"> the prohibition on the use of LCRs, </w:t>
      </w:r>
      <w:r w:rsidR="00865479" w:rsidRPr="004F35E6">
        <w:rPr>
          <w:rFonts w:ascii="Arial" w:hAnsi="Arial" w:cs="Arial"/>
          <w:lang w:val="en-US"/>
        </w:rPr>
        <w:t>WTO c</w:t>
      </w:r>
      <w:r w:rsidR="009B2741" w:rsidRPr="004F35E6">
        <w:rPr>
          <w:rFonts w:ascii="Arial" w:hAnsi="Arial" w:cs="Arial"/>
          <w:lang w:val="en-US"/>
        </w:rPr>
        <w:t>a</w:t>
      </w:r>
      <w:r w:rsidR="00865479" w:rsidRPr="004F35E6">
        <w:rPr>
          <w:rFonts w:ascii="Arial" w:hAnsi="Arial" w:cs="Arial"/>
          <w:lang w:val="en-US"/>
        </w:rPr>
        <w:t>se law is mostly concerned with the analysis of the</w:t>
      </w:r>
      <w:r w:rsidR="00840856" w:rsidRPr="004F35E6">
        <w:rPr>
          <w:rFonts w:ascii="Arial" w:hAnsi="Arial" w:cs="Arial"/>
          <w:lang w:val="en-US"/>
        </w:rPr>
        <w:t xml:space="preserve"> legality of LCRs</w:t>
      </w:r>
      <w:r w:rsidR="00EA2332" w:rsidRPr="004F35E6">
        <w:rPr>
          <w:rFonts w:ascii="Arial" w:hAnsi="Arial" w:cs="Arial"/>
          <w:lang w:val="en-US"/>
        </w:rPr>
        <w:t xml:space="preserve"> in light of Article III. 4 of the GATT 1994 and Articles 2.1 and 2.2 of the TRIMs</w:t>
      </w:r>
      <w:r w:rsidR="00865479" w:rsidRPr="004F35E6">
        <w:rPr>
          <w:rFonts w:ascii="Arial" w:hAnsi="Arial" w:cs="Arial"/>
          <w:lang w:val="en-US"/>
        </w:rPr>
        <w:t>. In</w:t>
      </w:r>
      <w:r w:rsidR="009B2741" w:rsidRPr="004F35E6">
        <w:rPr>
          <w:rFonts w:ascii="Arial" w:hAnsi="Arial" w:cs="Arial"/>
          <w:lang w:val="en-US"/>
        </w:rPr>
        <w:t xml:space="preserve"> this respect</w:t>
      </w:r>
      <w:r w:rsidR="00840856" w:rsidRPr="004F35E6">
        <w:rPr>
          <w:rFonts w:ascii="Arial" w:hAnsi="Arial" w:cs="Arial"/>
          <w:lang w:val="en-US"/>
        </w:rPr>
        <w:t>,</w:t>
      </w:r>
      <w:r w:rsidR="009B2741" w:rsidRPr="004F35E6">
        <w:rPr>
          <w:rFonts w:ascii="Arial" w:hAnsi="Arial" w:cs="Arial"/>
          <w:lang w:val="en-US"/>
        </w:rPr>
        <w:t xml:space="preserve"> both the Panel and the Appellate Body</w:t>
      </w:r>
      <w:r w:rsidR="00EE2758" w:rsidRPr="004F35E6">
        <w:rPr>
          <w:rFonts w:ascii="Arial" w:hAnsi="Arial" w:cs="Arial"/>
          <w:lang w:val="en-US"/>
        </w:rPr>
        <w:t xml:space="preserve"> (AB)</w:t>
      </w:r>
      <w:r w:rsidR="009B2741" w:rsidRPr="004F35E6">
        <w:rPr>
          <w:rFonts w:ascii="Arial" w:hAnsi="Arial" w:cs="Arial"/>
          <w:lang w:val="en-US"/>
        </w:rPr>
        <w:t xml:space="preserve"> have </w:t>
      </w:r>
      <w:r w:rsidR="00EE2758" w:rsidRPr="004F35E6">
        <w:rPr>
          <w:rFonts w:ascii="Arial" w:hAnsi="Arial" w:cs="Arial"/>
          <w:lang w:val="en-US"/>
        </w:rPr>
        <w:t xml:space="preserve">coherently and </w:t>
      </w:r>
      <w:r w:rsidR="009B2741" w:rsidRPr="004F35E6">
        <w:rPr>
          <w:rFonts w:ascii="Arial" w:hAnsi="Arial" w:cs="Arial"/>
          <w:lang w:val="en-US"/>
        </w:rPr>
        <w:t>consistently fo</w:t>
      </w:r>
      <w:r w:rsidR="00EA2332" w:rsidRPr="004F35E6">
        <w:rPr>
          <w:rFonts w:ascii="Arial" w:hAnsi="Arial" w:cs="Arial"/>
          <w:lang w:val="en-US"/>
        </w:rPr>
        <w:t>und LCRs to be in violation of those</w:t>
      </w:r>
      <w:r w:rsidR="00840856" w:rsidRPr="004F35E6">
        <w:rPr>
          <w:rFonts w:ascii="Arial" w:hAnsi="Arial" w:cs="Arial"/>
          <w:lang w:val="en-US"/>
        </w:rPr>
        <w:t xml:space="preserve"> provisions. </w:t>
      </w:r>
      <w:r w:rsidR="00795C72" w:rsidRPr="004F35E6">
        <w:rPr>
          <w:rFonts w:ascii="Arial" w:hAnsi="Arial" w:cs="Arial"/>
          <w:lang w:val="en-US"/>
        </w:rPr>
        <w:t>F</w:t>
      </w:r>
      <w:r w:rsidR="009B2741" w:rsidRPr="004F35E6">
        <w:rPr>
          <w:rFonts w:ascii="Arial" w:hAnsi="Arial" w:cs="Arial"/>
          <w:lang w:val="en-US"/>
        </w:rPr>
        <w:t>indings a</w:t>
      </w:r>
      <w:r w:rsidR="00840856" w:rsidRPr="004F35E6">
        <w:rPr>
          <w:rFonts w:ascii="Arial" w:hAnsi="Arial" w:cs="Arial"/>
          <w:lang w:val="en-US"/>
        </w:rPr>
        <w:t>nd rulings by the Panel and the AB</w:t>
      </w:r>
      <w:r w:rsidR="009B2741" w:rsidRPr="004F35E6">
        <w:rPr>
          <w:rFonts w:ascii="Arial" w:hAnsi="Arial" w:cs="Arial"/>
          <w:lang w:val="en-US"/>
        </w:rPr>
        <w:t xml:space="preserve"> in </w:t>
      </w:r>
      <w:r w:rsidR="009B2741" w:rsidRPr="004F35E6">
        <w:rPr>
          <w:rFonts w:ascii="Arial" w:hAnsi="Arial" w:cs="Arial"/>
          <w:i/>
          <w:lang w:val="en-US"/>
        </w:rPr>
        <w:t xml:space="preserve">Canada Renewable Energy </w:t>
      </w:r>
      <w:r w:rsidR="009B2741" w:rsidRPr="004F35E6">
        <w:rPr>
          <w:rFonts w:ascii="Arial" w:hAnsi="Arial" w:cs="Arial"/>
          <w:lang w:val="en-US"/>
        </w:rPr>
        <w:t xml:space="preserve">(DS 412, DS 416) and </w:t>
      </w:r>
      <w:r w:rsidR="009B2741" w:rsidRPr="004F35E6">
        <w:rPr>
          <w:rFonts w:ascii="Arial" w:hAnsi="Arial" w:cs="Arial"/>
          <w:i/>
          <w:lang w:val="en-US"/>
        </w:rPr>
        <w:t>Indian Solar Cells</w:t>
      </w:r>
      <w:r w:rsidR="009B2741" w:rsidRPr="004F35E6">
        <w:rPr>
          <w:rFonts w:ascii="Arial" w:hAnsi="Arial" w:cs="Arial"/>
          <w:lang w:val="en-US"/>
        </w:rPr>
        <w:t xml:space="preserve"> (DS 456)</w:t>
      </w:r>
      <w:r w:rsidR="00BD7FAE">
        <w:rPr>
          <w:rFonts w:ascii="Arial" w:hAnsi="Arial" w:cs="Arial"/>
          <w:lang w:val="en-US"/>
        </w:rPr>
        <w:t>, which</w:t>
      </w:r>
      <w:r w:rsidR="009B2741" w:rsidRPr="004F35E6">
        <w:rPr>
          <w:rFonts w:ascii="Arial" w:hAnsi="Arial" w:cs="Arial"/>
          <w:lang w:val="en-US"/>
        </w:rPr>
        <w:t xml:space="preserve"> further restricted </w:t>
      </w:r>
      <w:r w:rsidR="00840856" w:rsidRPr="004F35E6">
        <w:rPr>
          <w:rFonts w:ascii="Arial" w:hAnsi="Arial" w:cs="Arial"/>
          <w:lang w:val="en-US"/>
        </w:rPr>
        <w:t xml:space="preserve">the </w:t>
      </w:r>
      <w:r w:rsidR="009B2741" w:rsidRPr="004F35E6">
        <w:rPr>
          <w:rFonts w:ascii="Arial" w:hAnsi="Arial" w:cs="Arial"/>
          <w:i/>
          <w:lang w:val="en-US"/>
        </w:rPr>
        <w:t>policy space</w:t>
      </w:r>
      <w:r w:rsidR="009B2741" w:rsidRPr="004F35E6">
        <w:rPr>
          <w:rFonts w:ascii="Arial" w:hAnsi="Arial" w:cs="Arial"/>
          <w:lang w:val="en-US"/>
        </w:rPr>
        <w:t xml:space="preserve"> of</w:t>
      </w:r>
      <w:r w:rsidR="00B117C9">
        <w:rPr>
          <w:rFonts w:ascii="Arial" w:hAnsi="Arial" w:cs="Arial"/>
          <w:lang w:val="en-US"/>
        </w:rPr>
        <w:t xml:space="preserve"> </w:t>
      </w:r>
      <w:r w:rsidR="009B2741" w:rsidRPr="004F35E6">
        <w:rPr>
          <w:rFonts w:ascii="Arial" w:hAnsi="Arial" w:cs="Arial"/>
          <w:lang w:val="en-US"/>
        </w:rPr>
        <w:t>Members to adopt LCRs</w:t>
      </w:r>
      <w:r w:rsidR="00A71296" w:rsidRPr="004F35E6">
        <w:rPr>
          <w:rFonts w:ascii="Arial" w:hAnsi="Arial" w:cs="Arial"/>
          <w:lang w:val="en-US"/>
        </w:rPr>
        <w:t>,</w:t>
      </w:r>
      <w:r w:rsidR="00BD7FAE">
        <w:rPr>
          <w:rFonts w:ascii="Arial" w:hAnsi="Arial" w:cs="Arial"/>
          <w:lang w:val="en-US"/>
        </w:rPr>
        <w:t xml:space="preserve"> and the findings by the Panel in</w:t>
      </w:r>
      <w:r w:rsidR="00A71296" w:rsidRPr="004F35E6">
        <w:rPr>
          <w:rFonts w:ascii="Arial" w:hAnsi="Arial" w:cs="Arial"/>
          <w:lang w:val="en-US"/>
        </w:rPr>
        <w:t xml:space="preserve"> </w:t>
      </w:r>
      <w:r w:rsidR="00BD7FAE" w:rsidRPr="004F30E1">
        <w:rPr>
          <w:rFonts w:ascii="Arial" w:hAnsi="Arial" w:cs="Arial"/>
          <w:i/>
          <w:lang w:val="en-US"/>
        </w:rPr>
        <w:t>Brazil – Certain Measures Concerning Taxation and Charge</w:t>
      </w:r>
      <w:r w:rsidR="00BD7FAE">
        <w:rPr>
          <w:rFonts w:ascii="Arial" w:hAnsi="Arial" w:cs="Arial"/>
          <w:lang w:val="en-US"/>
        </w:rPr>
        <w:t xml:space="preserve"> (</w:t>
      </w:r>
      <w:r w:rsidR="00BD7FAE" w:rsidRPr="004F30E1">
        <w:rPr>
          <w:rFonts w:ascii="Arial" w:hAnsi="Arial" w:cs="Arial"/>
          <w:lang w:val="en-US"/>
        </w:rPr>
        <w:t>DS472/497</w:t>
      </w:r>
      <w:r w:rsidR="00BD7FAE">
        <w:rPr>
          <w:rFonts w:ascii="Arial" w:hAnsi="Arial" w:cs="Arial"/>
          <w:lang w:val="en-US"/>
        </w:rPr>
        <w:t>)</w:t>
      </w:r>
      <w:r w:rsidR="00A71296" w:rsidRPr="004F35E6">
        <w:rPr>
          <w:rFonts w:ascii="Arial" w:hAnsi="Arial" w:cs="Arial"/>
          <w:lang w:val="en-US"/>
        </w:rPr>
        <w:t xml:space="preserve"> </w:t>
      </w:r>
      <w:r w:rsidR="00C21AFC">
        <w:rPr>
          <w:rFonts w:ascii="Arial" w:hAnsi="Arial" w:cs="Arial"/>
          <w:lang w:val="en-US"/>
        </w:rPr>
        <w:t>confirmed</w:t>
      </w:r>
      <w:r w:rsidR="00A71296" w:rsidRPr="004F35E6">
        <w:rPr>
          <w:rFonts w:ascii="Arial" w:hAnsi="Arial" w:cs="Arial"/>
          <w:lang w:val="en-US"/>
        </w:rPr>
        <w:t xml:space="preserve"> a </w:t>
      </w:r>
      <w:r w:rsidR="00A71296" w:rsidRPr="004F35E6">
        <w:rPr>
          <w:rFonts w:ascii="Arial" w:hAnsi="Arial" w:cs="Arial"/>
          <w:i/>
          <w:lang w:val="en-US"/>
        </w:rPr>
        <w:t xml:space="preserve">jurisprudence </w:t>
      </w:r>
      <w:proofErr w:type="spellStart"/>
      <w:r w:rsidR="00A71296" w:rsidRPr="004F35E6">
        <w:rPr>
          <w:rFonts w:ascii="Arial" w:hAnsi="Arial" w:cs="Arial"/>
          <w:i/>
          <w:lang w:val="en-US"/>
        </w:rPr>
        <w:t>constante</w:t>
      </w:r>
      <w:proofErr w:type="spellEnd"/>
      <w:r w:rsidR="00A71296" w:rsidRPr="004F35E6">
        <w:rPr>
          <w:rFonts w:ascii="Arial" w:hAnsi="Arial" w:cs="Arial"/>
          <w:lang w:val="en-US"/>
        </w:rPr>
        <w:t xml:space="preserve"> or unequivocal jurisprudential trends in this regard. </w:t>
      </w:r>
      <w:r w:rsidR="00A71296" w:rsidRPr="005B5A58">
        <w:rPr>
          <w:rFonts w:ascii="Arial" w:hAnsi="Arial" w:cs="Arial"/>
          <w:lang w:val="en-US"/>
        </w:rPr>
        <w:t>This paper</w:t>
      </w:r>
      <w:r w:rsidR="005B5A58">
        <w:rPr>
          <w:rFonts w:ascii="Arial" w:hAnsi="Arial" w:cs="Arial"/>
          <w:lang w:val="en-US"/>
        </w:rPr>
        <w:t xml:space="preserve"> sustains that</w:t>
      </w:r>
      <w:r w:rsidR="00A71296" w:rsidRPr="005B5A58">
        <w:rPr>
          <w:rFonts w:ascii="Arial" w:hAnsi="Arial" w:cs="Arial"/>
          <w:lang w:val="en-US"/>
        </w:rPr>
        <w:t xml:space="preserve"> such unequivocal jurisprudential trends are in </w:t>
      </w:r>
      <w:r w:rsidR="00F97DD6" w:rsidRPr="005B5A58">
        <w:rPr>
          <w:rFonts w:ascii="Arial" w:hAnsi="Arial" w:cs="Arial"/>
          <w:lang w:val="en-US"/>
        </w:rPr>
        <w:t>line with the new global trad</w:t>
      </w:r>
      <w:r w:rsidR="00EA1A69">
        <w:rPr>
          <w:rFonts w:ascii="Arial" w:hAnsi="Arial" w:cs="Arial"/>
          <w:lang w:val="en-US"/>
        </w:rPr>
        <w:t>ing system, which</w:t>
      </w:r>
      <w:r w:rsidR="005B5A58" w:rsidRPr="004F35E6">
        <w:rPr>
          <w:rFonts w:ascii="Arial" w:hAnsi="Arial" w:cs="Arial"/>
          <w:lang w:val="en-US"/>
        </w:rPr>
        <w:t xml:space="preserve"> requires new tools of industrial or incentive policies that are consentaneous with an economy ever more integrated into the global value chains in which discriminatory measures of LCRs are likely to lose relevance and purpose increasingly.</w:t>
      </w:r>
    </w:p>
    <w:bookmarkEnd w:id="1"/>
    <w:p w14:paraId="21102866" w14:textId="77777777" w:rsidR="00795C72" w:rsidRPr="004F35E6" w:rsidRDefault="00795C72" w:rsidP="004F35E6">
      <w:pPr>
        <w:tabs>
          <w:tab w:val="num" w:pos="720"/>
          <w:tab w:val="num" w:pos="1440"/>
        </w:tabs>
        <w:spacing w:line="240" w:lineRule="auto"/>
        <w:jc w:val="both"/>
        <w:rPr>
          <w:rFonts w:ascii="Arial" w:hAnsi="Arial" w:cs="Arial"/>
          <w:lang w:val="en-US"/>
        </w:rPr>
      </w:pPr>
    </w:p>
    <w:p w14:paraId="03EA98C4" w14:textId="77777777" w:rsidR="00EE2758" w:rsidRPr="00C848F3" w:rsidRDefault="00EE2758" w:rsidP="004F35E6">
      <w:pPr>
        <w:tabs>
          <w:tab w:val="num" w:pos="720"/>
          <w:tab w:val="num" w:pos="1440"/>
        </w:tabs>
        <w:spacing w:line="240" w:lineRule="auto"/>
        <w:jc w:val="both"/>
        <w:rPr>
          <w:rFonts w:ascii="Arial" w:hAnsi="Arial" w:cs="Arial"/>
          <w:b/>
          <w:sz w:val="24"/>
          <w:szCs w:val="24"/>
          <w:lang w:val="en-US"/>
        </w:rPr>
      </w:pPr>
      <w:r w:rsidRPr="00C848F3">
        <w:rPr>
          <w:rFonts w:ascii="Arial" w:hAnsi="Arial" w:cs="Arial"/>
          <w:b/>
          <w:sz w:val="24"/>
          <w:szCs w:val="24"/>
          <w:lang w:val="en-US"/>
        </w:rPr>
        <w:t>1</w:t>
      </w:r>
      <w:r w:rsidR="004F35E6" w:rsidRPr="00C848F3">
        <w:rPr>
          <w:rFonts w:ascii="Arial" w:hAnsi="Arial" w:cs="Arial"/>
          <w:b/>
          <w:sz w:val="24"/>
          <w:szCs w:val="24"/>
          <w:lang w:val="en-US"/>
        </w:rPr>
        <w:tab/>
      </w:r>
      <w:r w:rsidRPr="00C848F3">
        <w:rPr>
          <w:rFonts w:ascii="Arial" w:hAnsi="Arial" w:cs="Arial"/>
          <w:b/>
          <w:sz w:val="24"/>
          <w:szCs w:val="24"/>
          <w:lang w:val="en-US"/>
        </w:rPr>
        <w:t>Introduction</w:t>
      </w:r>
    </w:p>
    <w:p w14:paraId="59F34429" w14:textId="77777777" w:rsidR="00C848F3" w:rsidRDefault="00A71296" w:rsidP="004F35E6">
      <w:pPr>
        <w:tabs>
          <w:tab w:val="num" w:pos="720"/>
          <w:tab w:val="num" w:pos="1440"/>
        </w:tabs>
        <w:spacing w:line="240" w:lineRule="auto"/>
        <w:jc w:val="both"/>
        <w:rPr>
          <w:rFonts w:ascii="Arial" w:hAnsi="Arial" w:cs="Arial"/>
          <w:lang w:val="en-US"/>
        </w:rPr>
      </w:pPr>
      <w:r w:rsidRPr="004F35E6">
        <w:rPr>
          <w:rFonts w:ascii="Arial" w:hAnsi="Arial" w:cs="Arial"/>
          <w:lang w:val="en-US"/>
        </w:rPr>
        <w:tab/>
      </w:r>
      <w:r w:rsidR="00825A6F" w:rsidRPr="004F35E6">
        <w:rPr>
          <w:rFonts w:ascii="Arial" w:hAnsi="Arial" w:cs="Arial"/>
          <w:lang w:val="en-US"/>
        </w:rPr>
        <w:t>The normative regime of the International Inv</w:t>
      </w:r>
      <w:r w:rsidR="00874BE8" w:rsidRPr="004F35E6">
        <w:rPr>
          <w:rFonts w:ascii="Arial" w:hAnsi="Arial" w:cs="Arial"/>
          <w:lang w:val="en-US"/>
        </w:rPr>
        <w:t xml:space="preserve">estment Law </w:t>
      </w:r>
      <w:r w:rsidR="00EA2332" w:rsidRPr="004F35E6">
        <w:rPr>
          <w:rFonts w:ascii="Arial" w:hAnsi="Arial" w:cs="Arial"/>
          <w:lang w:val="en-US"/>
        </w:rPr>
        <w:t xml:space="preserve">(IIL) </w:t>
      </w:r>
      <w:r w:rsidR="00874BE8" w:rsidRPr="004F35E6">
        <w:rPr>
          <w:rFonts w:ascii="Arial" w:hAnsi="Arial" w:cs="Arial"/>
          <w:lang w:val="en-US"/>
        </w:rPr>
        <w:t xml:space="preserve">is very much fragmented. It is </w:t>
      </w:r>
      <w:r w:rsidR="006901BA" w:rsidRPr="004F35E6">
        <w:rPr>
          <w:rFonts w:ascii="Arial" w:hAnsi="Arial" w:cs="Arial"/>
          <w:lang w:val="en-US"/>
        </w:rPr>
        <w:t xml:space="preserve">decentralized and </w:t>
      </w:r>
      <w:r w:rsidR="00EE2758" w:rsidRPr="004F35E6">
        <w:rPr>
          <w:rFonts w:ascii="Arial" w:hAnsi="Arial" w:cs="Arial"/>
          <w:lang w:val="en-US"/>
        </w:rPr>
        <w:t xml:space="preserve">contained in </w:t>
      </w:r>
      <w:r w:rsidR="00227042">
        <w:rPr>
          <w:rFonts w:ascii="Arial" w:hAnsi="Arial" w:cs="Arial"/>
          <w:lang w:val="en-US"/>
        </w:rPr>
        <w:t>many</w:t>
      </w:r>
      <w:r w:rsidR="00EE2758" w:rsidRPr="004F35E6">
        <w:rPr>
          <w:rFonts w:ascii="Arial" w:hAnsi="Arial" w:cs="Arial"/>
          <w:lang w:val="en-US"/>
        </w:rPr>
        <w:t xml:space="preserve"> international instruments, </w:t>
      </w:r>
      <w:r w:rsidR="003C4201">
        <w:rPr>
          <w:rFonts w:ascii="Arial" w:hAnsi="Arial" w:cs="Arial"/>
          <w:lang w:val="en-US"/>
        </w:rPr>
        <w:t>such as</w:t>
      </w:r>
      <w:r w:rsidR="00EE2758" w:rsidRPr="004F35E6">
        <w:rPr>
          <w:rFonts w:ascii="Arial" w:hAnsi="Arial" w:cs="Arial"/>
          <w:lang w:val="en-US"/>
        </w:rPr>
        <w:t xml:space="preserve"> Bilateral Investment Treaties</w:t>
      </w:r>
      <w:r w:rsidR="007F02A4">
        <w:rPr>
          <w:rFonts w:ascii="Arial" w:hAnsi="Arial" w:cs="Arial"/>
          <w:lang w:val="en-US"/>
        </w:rPr>
        <w:t xml:space="preserve"> (BITs)</w:t>
      </w:r>
      <w:r w:rsidR="00EE2758" w:rsidRPr="004F35E6">
        <w:rPr>
          <w:rFonts w:ascii="Arial" w:hAnsi="Arial" w:cs="Arial"/>
          <w:lang w:val="en-US"/>
        </w:rPr>
        <w:t xml:space="preserve">, Regional </w:t>
      </w:r>
      <w:r w:rsidR="008A520B" w:rsidRPr="004F35E6">
        <w:rPr>
          <w:rFonts w:ascii="Arial" w:hAnsi="Arial" w:cs="Arial"/>
          <w:lang w:val="en-US"/>
        </w:rPr>
        <w:t xml:space="preserve">or Preferential </w:t>
      </w:r>
      <w:r w:rsidR="00EE2758" w:rsidRPr="004F35E6">
        <w:rPr>
          <w:rFonts w:ascii="Arial" w:hAnsi="Arial" w:cs="Arial"/>
          <w:lang w:val="en-US"/>
        </w:rPr>
        <w:t>Trade Agreements and WTO Agreement</w:t>
      </w:r>
      <w:r w:rsidR="008A520B" w:rsidRPr="004F35E6">
        <w:rPr>
          <w:rFonts w:ascii="Arial" w:hAnsi="Arial" w:cs="Arial"/>
          <w:lang w:val="en-US"/>
        </w:rPr>
        <w:t>s</w:t>
      </w:r>
      <w:r w:rsidR="00EE2758" w:rsidRPr="004F35E6">
        <w:rPr>
          <w:rFonts w:ascii="Arial" w:hAnsi="Arial" w:cs="Arial"/>
          <w:lang w:val="en-US"/>
        </w:rPr>
        <w:t xml:space="preserve"> (multilateral domain). </w:t>
      </w:r>
      <w:r w:rsidR="00EA1053" w:rsidRPr="004F35E6">
        <w:rPr>
          <w:rFonts w:ascii="Arial" w:hAnsi="Arial" w:cs="Arial"/>
          <w:lang w:val="en-US"/>
        </w:rPr>
        <w:t>As regards the latter, w</w:t>
      </w:r>
      <w:r w:rsidR="00EE2758" w:rsidRPr="004F35E6">
        <w:rPr>
          <w:rFonts w:ascii="Arial" w:hAnsi="Arial" w:cs="Arial"/>
          <w:lang w:val="en-US"/>
        </w:rPr>
        <w:t>hile investment provisions are spread i</w:t>
      </w:r>
      <w:r w:rsidR="00D66EB6" w:rsidRPr="004F35E6">
        <w:rPr>
          <w:rFonts w:ascii="Arial" w:hAnsi="Arial" w:cs="Arial"/>
          <w:lang w:val="en-US"/>
        </w:rPr>
        <w:t xml:space="preserve">n a number of </w:t>
      </w:r>
      <w:r w:rsidR="00EA1053" w:rsidRPr="004F35E6">
        <w:rPr>
          <w:rFonts w:ascii="Arial" w:hAnsi="Arial" w:cs="Arial"/>
          <w:lang w:val="en-US"/>
        </w:rPr>
        <w:t>covered</w:t>
      </w:r>
      <w:r w:rsidR="00EE2758" w:rsidRPr="004F35E6">
        <w:rPr>
          <w:rFonts w:ascii="Arial" w:hAnsi="Arial" w:cs="Arial"/>
          <w:lang w:val="en-US"/>
        </w:rPr>
        <w:t xml:space="preserve"> Agreements, such as the General Agreement on Trade in Services (GATS), Trade Related Intellectual Property Rights (TRIPS) and Government Procurement </w:t>
      </w:r>
      <w:r w:rsidR="000F00D7" w:rsidRPr="004F35E6">
        <w:rPr>
          <w:rFonts w:ascii="Arial" w:hAnsi="Arial" w:cs="Arial"/>
          <w:lang w:val="en-US"/>
        </w:rPr>
        <w:t xml:space="preserve">Agreement </w:t>
      </w:r>
      <w:r w:rsidR="00EE2758" w:rsidRPr="004F35E6">
        <w:rPr>
          <w:rFonts w:ascii="Arial" w:hAnsi="Arial" w:cs="Arial"/>
          <w:lang w:val="en-US"/>
        </w:rPr>
        <w:t>(GPA), the legality of certain measures adopted by Members, which are deemed by investors to be ha</w:t>
      </w:r>
      <w:r w:rsidR="007818A0" w:rsidRPr="004F35E6">
        <w:rPr>
          <w:rFonts w:ascii="Arial" w:hAnsi="Arial" w:cs="Arial"/>
          <w:lang w:val="en-US"/>
        </w:rPr>
        <w:t>rmful to their investments, has</w:t>
      </w:r>
      <w:r w:rsidR="00EE2758" w:rsidRPr="004F35E6">
        <w:rPr>
          <w:rFonts w:ascii="Arial" w:hAnsi="Arial" w:cs="Arial"/>
          <w:lang w:val="en-US"/>
        </w:rPr>
        <w:t xml:space="preserve"> been challenged before the </w:t>
      </w:r>
      <w:r w:rsidR="00C91686">
        <w:rPr>
          <w:rFonts w:ascii="Arial" w:hAnsi="Arial" w:cs="Arial"/>
          <w:lang w:val="en-US"/>
        </w:rPr>
        <w:t xml:space="preserve">WTO </w:t>
      </w:r>
      <w:r w:rsidR="00EE2758" w:rsidRPr="004F35E6">
        <w:rPr>
          <w:rFonts w:ascii="Arial" w:hAnsi="Arial" w:cs="Arial"/>
          <w:lang w:val="en-US"/>
        </w:rPr>
        <w:t>Dispute Settlement Body (DSB)</w:t>
      </w:r>
      <w:r w:rsidR="007818A0" w:rsidRPr="004F35E6">
        <w:rPr>
          <w:rFonts w:ascii="Arial" w:hAnsi="Arial" w:cs="Arial"/>
          <w:lang w:val="en-US"/>
        </w:rPr>
        <w:t xml:space="preserve"> on the grounds that they are inconsistent with the TRIMs and the SCM.</w:t>
      </w:r>
      <w:r w:rsidR="00EE2758" w:rsidRPr="004F35E6">
        <w:rPr>
          <w:rFonts w:ascii="Arial" w:hAnsi="Arial" w:cs="Arial"/>
          <w:lang w:val="en-US"/>
        </w:rPr>
        <w:t xml:space="preserve"> </w:t>
      </w:r>
    </w:p>
    <w:p w14:paraId="648AB222" w14:textId="77777777" w:rsidR="00B347D0" w:rsidRPr="004F35E6" w:rsidRDefault="00C848F3" w:rsidP="004F35E6">
      <w:pPr>
        <w:tabs>
          <w:tab w:val="num" w:pos="720"/>
          <w:tab w:val="num" w:pos="1440"/>
        </w:tabs>
        <w:spacing w:line="240" w:lineRule="auto"/>
        <w:jc w:val="both"/>
        <w:rPr>
          <w:rFonts w:ascii="Arial" w:hAnsi="Arial" w:cs="Arial"/>
          <w:lang w:val="en-US"/>
        </w:rPr>
      </w:pPr>
      <w:r>
        <w:rPr>
          <w:rFonts w:ascii="Arial" w:hAnsi="Arial" w:cs="Arial"/>
          <w:lang w:val="en-US"/>
        </w:rPr>
        <w:lastRenderedPageBreak/>
        <w:tab/>
      </w:r>
      <w:r w:rsidR="009D0788" w:rsidRPr="004F35E6">
        <w:rPr>
          <w:rFonts w:ascii="Arial" w:hAnsi="Arial" w:cs="Arial"/>
          <w:lang w:val="en-US"/>
        </w:rPr>
        <w:t xml:space="preserve">Among these measures are the LCRs. </w:t>
      </w:r>
      <w:r w:rsidR="002817E6" w:rsidRPr="004F35E6">
        <w:rPr>
          <w:rFonts w:ascii="Arial" w:hAnsi="Arial" w:cs="Arial"/>
          <w:lang w:val="en-US" w:eastAsia="fr-FR"/>
        </w:rPr>
        <w:t xml:space="preserve">LCRs, one type of performance requirements, are industrial policy measures that condition the grant of a benefit, by means of subsidies or other kinds of incentives, on the use of domestic products and services. </w:t>
      </w:r>
      <w:r w:rsidR="002817E6" w:rsidRPr="004F35E6">
        <w:rPr>
          <w:rFonts w:ascii="Arial" w:hAnsi="Arial" w:cs="Arial"/>
          <w:lang w:val="en-US"/>
        </w:rPr>
        <w:t>Both the Panel and the AB have been co</w:t>
      </w:r>
      <w:r w:rsidR="00BA6A37" w:rsidRPr="004F35E6">
        <w:rPr>
          <w:rFonts w:ascii="Arial" w:hAnsi="Arial" w:cs="Arial"/>
          <w:lang w:val="en-US"/>
        </w:rPr>
        <w:t xml:space="preserve">herently and consistently condemning the use of LCRs. </w:t>
      </w:r>
      <w:r w:rsidR="002F0F21" w:rsidRPr="004F35E6">
        <w:rPr>
          <w:rFonts w:ascii="Arial" w:hAnsi="Arial" w:cs="Arial"/>
          <w:lang w:val="en-US"/>
        </w:rPr>
        <w:t xml:space="preserve">Their recommendations and rulings are likely to lead </w:t>
      </w:r>
      <w:r w:rsidR="00E11FE1" w:rsidRPr="004F35E6">
        <w:rPr>
          <w:rFonts w:ascii="Arial" w:hAnsi="Arial" w:cs="Arial"/>
          <w:lang w:val="en-US"/>
        </w:rPr>
        <w:t>governments</w:t>
      </w:r>
      <w:r w:rsidR="002F0F21" w:rsidRPr="004F35E6">
        <w:rPr>
          <w:rFonts w:ascii="Arial" w:hAnsi="Arial" w:cs="Arial"/>
          <w:lang w:val="en-US"/>
        </w:rPr>
        <w:t xml:space="preserve"> and investors alike to review strategies of industrial policies and investments</w:t>
      </w:r>
      <w:r w:rsidR="00061DFA" w:rsidRPr="004F35E6">
        <w:rPr>
          <w:rFonts w:ascii="Arial" w:hAnsi="Arial" w:cs="Arial"/>
          <w:lang w:val="en-US"/>
        </w:rPr>
        <w:t xml:space="preserve"> especially in traditional sectors of the economy, such as the automobile industry</w:t>
      </w:r>
      <w:r w:rsidR="002F0F21" w:rsidRPr="004F35E6">
        <w:rPr>
          <w:rFonts w:ascii="Arial" w:hAnsi="Arial" w:cs="Arial"/>
          <w:lang w:val="en-US"/>
        </w:rPr>
        <w:t>, which, in fact, has</w:t>
      </w:r>
      <w:r w:rsidR="00E11FE1" w:rsidRPr="004F35E6">
        <w:rPr>
          <w:rFonts w:ascii="Arial" w:hAnsi="Arial" w:cs="Arial"/>
          <w:lang w:val="en-US"/>
        </w:rPr>
        <w:t xml:space="preserve"> </w:t>
      </w:r>
      <w:r w:rsidR="002D5370">
        <w:rPr>
          <w:rFonts w:ascii="Arial" w:hAnsi="Arial" w:cs="Arial"/>
          <w:lang w:val="en-US"/>
        </w:rPr>
        <w:t xml:space="preserve">already </w:t>
      </w:r>
      <w:r w:rsidR="00C91686">
        <w:rPr>
          <w:rFonts w:ascii="Arial" w:hAnsi="Arial" w:cs="Arial"/>
          <w:lang w:val="en-US"/>
        </w:rPr>
        <w:t>occurred</w:t>
      </w:r>
      <w:r w:rsidR="002F0F21" w:rsidRPr="004F35E6">
        <w:rPr>
          <w:rFonts w:ascii="Arial" w:hAnsi="Arial" w:cs="Arial"/>
          <w:lang w:val="en-US"/>
        </w:rPr>
        <w:t xml:space="preserve"> in </w:t>
      </w:r>
      <w:r w:rsidR="00E11FE1" w:rsidRPr="004F35E6">
        <w:rPr>
          <w:rFonts w:ascii="Arial" w:hAnsi="Arial" w:cs="Arial"/>
          <w:lang w:val="en-US"/>
        </w:rPr>
        <w:t xml:space="preserve">some of the Members. </w:t>
      </w:r>
    </w:p>
    <w:p w14:paraId="37E0A901" w14:textId="77777777" w:rsidR="009C039B" w:rsidRPr="004F35E6" w:rsidRDefault="00B347D0" w:rsidP="004F35E6">
      <w:pPr>
        <w:tabs>
          <w:tab w:val="num" w:pos="720"/>
          <w:tab w:val="num" w:pos="1440"/>
        </w:tabs>
        <w:spacing w:line="240" w:lineRule="auto"/>
        <w:jc w:val="both"/>
        <w:rPr>
          <w:rFonts w:ascii="Arial" w:hAnsi="Arial" w:cs="Arial"/>
          <w:lang w:val="en-US"/>
        </w:rPr>
      </w:pPr>
      <w:r w:rsidRPr="004F35E6">
        <w:rPr>
          <w:rFonts w:ascii="Arial" w:hAnsi="Arial" w:cs="Arial"/>
          <w:lang w:val="en-US"/>
        </w:rPr>
        <w:tab/>
      </w:r>
      <w:r w:rsidR="00C60859" w:rsidRPr="004F35E6">
        <w:rPr>
          <w:rFonts w:ascii="Arial" w:hAnsi="Arial" w:cs="Arial"/>
          <w:lang w:val="en-US"/>
        </w:rPr>
        <w:t>Nonetheless</w:t>
      </w:r>
      <w:r w:rsidR="00E11FE1" w:rsidRPr="004F35E6">
        <w:rPr>
          <w:rFonts w:ascii="Arial" w:hAnsi="Arial" w:cs="Arial"/>
          <w:lang w:val="en-US"/>
        </w:rPr>
        <w:t>, given the need for Members to develop</w:t>
      </w:r>
      <w:r w:rsidR="00061DFA" w:rsidRPr="004F35E6">
        <w:rPr>
          <w:rFonts w:ascii="Arial" w:hAnsi="Arial" w:cs="Arial"/>
          <w:lang w:val="en-US"/>
        </w:rPr>
        <w:t xml:space="preserve"> other sectors, such as  </w:t>
      </w:r>
      <w:r w:rsidR="00306788">
        <w:rPr>
          <w:rFonts w:ascii="Arial" w:hAnsi="Arial" w:cs="Arial"/>
          <w:lang w:val="en-US"/>
        </w:rPr>
        <w:t xml:space="preserve">the </w:t>
      </w:r>
      <w:r w:rsidR="00061DFA" w:rsidRPr="004F35E6">
        <w:rPr>
          <w:rFonts w:ascii="Arial" w:hAnsi="Arial" w:cs="Arial"/>
          <w:lang w:val="en-US"/>
        </w:rPr>
        <w:t>renewable energy</w:t>
      </w:r>
      <w:r w:rsidR="00337761">
        <w:rPr>
          <w:rFonts w:ascii="Arial" w:hAnsi="Arial" w:cs="Arial"/>
          <w:lang w:val="en-US"/>
        </w:rPr>
        <w:t xml:space="preserve"> sector</w:t>
      </w:r>
      <w:r w:rsidR="00061DFA" w:rsidRPr="004F35E6">
        <w:rPr>
          <w:rFonts w:ascii="Arial" w:hAnsi="Arial" w:cs="Arial"/>
          <w:lang w:val="en-US"/>
        </w:rPr>
        <w:t>, LCRs measures tend to be used</w:t>
      </w:r>
      <w:r w:rsidR="00DB129E" w:rsidRPr="004F35E6">
        <w:rPr>
          <w:rFonts w:ascii="Arial" w:hAnsi="Arial" w:cs="Arial"/>
          <w:lang w:val="en-US"/>
        </w:rPr>
        <w:t xml:space="preserve"> again as an important tool to make</w:t>
      </w:r>
      <w:r w:rsidR="009C039B" w:rsidRPr="004F35E6">
        <w:rPr>
          <w:rFonts w:ascii="Arial" w:hAnsi="Arial" w:cs="Arial"/>
          <w:lang w:val="en-US"/>
        </w:rPr>
        <w:t xml:space="preserve"> this development</w:t>
      </w:r>
      <w:r w:rsidR="00711FFA">
        <w:rPr>
          <w:rFonts w:ascii="Arial" w:hAnsi="Arial" w:cs="Arial"/>
          <w:lang w:val="en-US"/>
        </w:rPr>
        <w:t xml:space="preserve"> viable</w:t>
      </w:r>
      <w:r w:rsidR="009C039B" w:rsidRPr="004F35E6">
        <w:rPr>
          <w:rFonts w:ascii="Arial" w:hAnsi="Arial" w:cs="Arial"/>
          <w:lang w:val="en-US"/>
        </w:rPr>
        <w:t>.</w:t>
      </w:r>
      <w:r w:rsidRPr="004F35E6">
        <w:rPr>
          <w:rFonts w:ascii="Arial" w:hAnsi="Arial" w:cs="Arial"/>
          <w:lang w:val="en-US"/>
        </w:rPr>
        <w:t xml:space="preserve"> </w:t>
      </w:r>
      <w:r w:rsidR="009C039B" w:rsidRPr="004F35E6">
        <w:rPr>
          <w:rFonts w:ascii="Arial" w:hAnsi="Arial" w:cs="Arial"/>
          <w:lang w:val="en-US"/>
        </w:rPr>
        <w:t xml:space="preserve">To the extent that Members adopt these measures, tensions and conflicts arise </w:t>
      </w:r>
      <w:r w:rsidR="002A6E52" w:rsidRPr="004F35E6">
        <w:rPr>
          <w:rFonts w:ascii="Arial" w:hAnsi="Arial" w:cs="Arial"/>
          <w:lang w:val="en-US"/>
        </w:rPr>
        <w:t>that</w:t>
      </w:r>
      <w:r w:rsidRPr="004F35E6">
        <w:rPr>
          <w:rFonts w:ascii="Arial" w:hAnsi="Arial" w:cs="Arial"/>
          <w:lang w:val="en-US"/>
        </w:rPr>
        <w:t xml:space="preserve"> test the limits of current WTO rules which may result in a contraction of investments. In the cases </w:t>
      </w:r>
      <w:r w:rsidRPr="004F35E6">
        <w:rPr>
          <w:rFonts w:ascii="Arial" w:hAnsi="Arial" w:cs="Arial"/>
          <w:i/>
          <w:lang w:val="en-US"/>
        </w:rPr>
        <w:t>Canada Renewable Energy</w:t>
      </w:r>
      <w:r w:rsidRPr="004F35E6">
        <w:rPr>
          <w:rFonts w:ascii="Arial" w:hAnsi="Arial" w:cs="Arial"/>
          <w:lang w:val="en-US"/>
        </w:rPr>
        <w:t xml:space="preserve"> and </w:t>
      </w:r>
      <w:r w:rsidRPr="004F35E6">
        <w:rPr>
          <w:rFonts w:ascii="Arial" w:hAnsi="Arial" w:cs="Arial"/>
          <w:i/>
          <w:lang w:val="en-US"/>
        </w:rPr>
        <w:t>India Solar Cells</w:t>
      </w:r>
      <w:r w:rsidRPr="004F35E6">
        <w:rPr>
          <w:rFonts w:ascii="Arial" w:hAnsi="Arial" w:cs="Arial"/>
          <w:lang w:val="en-US"/>
        </w:rPr>
        <w:t>, in which the AB further reduced Members’ policy space to implement LCRs, these tensions and conflicts became very clear.</w:t>
      </w:r>
      <w:r w:rsidR="00C60859" w:rsidRPr="004F35E6">
        <w:rPr>
          <w:rFonts w:ascii="Arial" w:hAnsi="Arial" w:cs="Arial"/>
          <w:lang w:val="en-US"/>
        </w:rPr>
        <w:t xml:space="preserve"> However legitimate the incentives to the development of renewable energy may be</w:t>
      </w:r>
      <w:r w:rsidR="00711FFA">
        <w:rPr>
          <w:rFonts w:ascii="Arial" w:hAnsi="Arial" w:cs="Arial"/>
          <w:lang w:val="en-US"/>
        </w:rPr>
        <w:t>,</w:t>
      </w:r>
      <w:r w:rsidR="00C60859" w:rsidRPr="004F35E6">
        <w:rPr>
          <w:rFonts w:ascii="Arial" w:hAnsi="Arial" w:cs="Arial"/>
          <w:lang w:val="en-US"/>
        </w:rPr>
        <w:t xml:space="preserve"> the question arises as to how </w:t>
      </w:r>
      <w:r w:rsidR="0020091D" w:rsidRPr="004F35E6">
        <w:rPr>
          <w:rFonts w:ascii="Arial" w:hAnsi="Arial" w:cs="Arial"/>
          <w:lang w:val="en-US"/>
        </w:rPr>
        <w:t xml:space="preserve">to </w:t>
      </w:r>
      <w:r w:rsidR="003C3330" w:rsidRPr="004F35E6">
        <w:rPr>
          <w:rFonts w:ascii="Arial" w:hAnsi="Arial" w:cs="Arial"/>
          <w:lang w:val="en-US"/>
        </w:rPr>
        <w:t>implement them</w:t>
      </w:r>
      <w:r w:rsidR="00C60859" w:rsidRPr="004F35E6">
        <w:rPr>
          <w:rFonts w:ascii="Arial" w:hAnsi="Arial" w:cs="Arial"/>
          <w:lang w:val="en-US"/>
        </w:rPr>
        <w:t xml:space="preserve"> without necessarily violating Articles III. 4 of</w:t>
      </w:r>
      <w:r w:rsidR="00F51631" w:rsidRPr="004F35E6">
        <w:rPr>
          <w:rFonts w:ascii="Arial" w:hAnsi="Arial" w:cs="Arial"/>
          <w:lang w:val="en-US"/>
        </w:rPr>
        <w:t xml:space="preserve"> the</w:t>
      </w:r>
      <w:r w:rsidR="00C60859" w:rsidRPr="004F35E6">
        <w:rPr>
          <w:rFonts w:ascii="Arial" w:hAnsi="Arial" w:cs="Arial"/>
          <w:lang w:val="en-US"/>
        </w:rPr>
        <w:t xml:space="preserve"> G</w:t>
      </w:r>
      <w:r w:rsidR="003C3330" w:rsidRPr="004F35E6">
        <w:rPr>
          <w:rFonts w:ascii="Arial" w:hAnsi="Arial" w:cs="Arial"/>
          <w:lang w:val="en-US"/>
        </w:rPr>
        <w:t>ATT 1994 and 2.1 of the TRIMs.</w:t>
      </w:r>
    </w:p>
    <w:p w14:paraId="40C05F5C" w14:textId="77777777" w:rsidR="00D815B6" w:rsidRDefault="002A6E52" w:rsidP="00D815B6">
      <w:pPr>
        <w:tabs>
          <w:tab w:val="num" w:pos="720"/>
          <w:tab w:val="num" w:pos="1440"/>
        </w:tabs>
        <w:spacing w:line="240" w:lineRule="auto"/>
        <w:jc w:val="both"/>
        <w:rPr>
          <w:rFonts w:ascii="Arial" w:hAnsi="Arial" w:cs="Arial"/>
          <w:b/>
          <w:lang w:val="en-US"/>
        </w:rPr>
      </w:pPr>
      <w:r w:rsidRPr="004F35E6">
        <w:rPr>
          <w:rFonts w:ascii="Arial" w:hAnsi="Arial" w:cs="Arial"/>
          <w:lang w:val="en-US"/>
        </w:rPr>
        <w:tab/>
        <w:t>Against this backdrop, this paper intends to show that the coherent and consistent interpretation by the Panel and the AB on the use of LCRs</w:t>
      </w:r>
      <w:r w:rsidR="0020091D" w:rsidRPr="004F35E6">
        <w:rPr>
          <w:rFonts w:ascii="Arial" w:hAnsi="Arial" w:cs="Arial"/>
          <w:lang w:val="en-US"/>
        </w:rPr>
        <w:t xml:space="preserve"> that has led to the expansion of</w:t>
      </w:r>
      <w:r w:rsidR="0023137F" w:rsidRPr="004F35E6">
        <w:rPr>
          <w:rFonts w:ascii="Arial" w:hAnsi="Arial" w:cs="Arial"/>
          <w:lang w:val="en-US"/>
        </w:rPr>
        <w:t xml:space="preserve"> restrictions </w:t>
      </w:r>
      <w:r w:rsidR="001074F7">
        <w:rPr>
          <w:rFonts w:ascii="Arial" w:hAnsi="Arial" w:cs="Arial"/>
          <w:lang w:val="en-US"/>
        </w:rPr>
        <w:t>on</w:t>
      </w:r>
      <w:r w:rsidR="0023137F" w:rsidRPr="004F35E6">
        <w:rPr>
          <w:rFonts w:ascii="Arial" w:hAnsi="Arial" w:cs="Arial"/>
          <w:lang w:val="en-US"/>
        </w:rPr>
        <w:t xml:space="preserve"> this type of industrial policy points to unequivocal jurisprudential tendencies. These </w:t>
      </w:r>
      <w:r w:rsidR="00C60859" w:rsidRPr="004F35E6">
        <w:rPr>
          <w:rFonts w:ascii="Arial" w:hAnsi="Arial" w:cs="Arial"/>
          <w:lang w:val="en-US"/>
        </w:rPr>
        <w:t>jurisprudential tendencies are likely to</w:t>
      </w:r>
      <w:r w:rsidR="0023137F" w:rsidRPr="004F35E6">
        <w:rPr>
          <w:rFonts w:ascii="Arial" w:hAnsi="Arial" w:cs="Arial"/>
          <w:lang w:val="en-US"/>
        </w:rPr>
        <w:t xml:space="preserve"> have the effect of making more difficult for</w:t>
      </w:r>
      <w:r w:rsidR="00C60859" w:rsidRPr="004F35E6">
        <w:rPr>
          <w:rFonts w:ascii="Arial" w:hAnsi="Arial" w:cs="Arial"/>
          <w:lang w:val="en-US"/>
        </w:rPr>
        <w:t xml:space="preserve"> Members to use LCRs. They may</w:t>
      </w:r>
      <w:r w:rsidR="0023137F" w:rsidRPr="004F35E6">
        <w:rPr>
          <w:rFonts w:ascii="Arial" w:hAnsi="Arial" w:cs="Arial"/>
          <w:lang w:val="en-US"/>
        </w:rPr>
        <w:t xml:space="preserve"> have a </w:t>
      </w:r>
      <w:r w:rsidR="00A27CC3" w:rsidRPr="004F35E6">
        <w:rPr>
          <w:rFonts w:ascii="Arial" w:hAnsi="Arial" w:cs="Arial"/>
          <w:lang w:val="en-US"/>
        </w:rPr>
        <w:t>“</w:t>
      </w:r>
      <w:r w:rsidR="0023137F" w:rsidRPr="004F35E6">
        <w:rPr>
          <w:rFonts w:ascii="Arial" w:hAnsi="Arial" w:cs="Arial"/>
          <w:lang w:val="en-US"/>
        </w:rPr>
        <w:t>chilling impact</w:t>
      </w:r>
      <w:r w:rsidR="00A27CC3" w:rsidRPr="004F35E6">
        <w:rPr>
          <w:rFonts w:ascii="Arial" w:hAnsi="Arial" w:cs="Arial"/>
          <w:lang w:val="en-US"/>
        </w:rPr>
        <w:t xml:space="preserve">” – to use </w:t>
      </w:r>
      <w:proofErr w:type="spellStart"/>
      <w:r w:rsidR="00A27CC3" w:rsidRPr="004F35E6">
        <w:rPr>
          <w:rFonts w:ascii="Arial" w:hAnsi="Arial" w:cs="Arial"/>
          <w:lang w:val="en-US"/>
        </w:rPr>
        <w:t>Bohanes</w:t>
      </w:r>
      <w:proofErr w:type="spellEnd"/>
      <w:r w:rsidR="00A27CC3" w:rsidRPr="004F35E6">
        <w:rPr>
          <w:rFonts w:ascii="Arial" w:hAnsi="Arial" w:cs="Arial"/>
          <w:lang w:val="en-US"/>
        </w:rPr>
        <w:t>’ words</w:t>
      </w:r>
      <w:r w:rsidR="00A27CC3" w:rsidRPr="004F35E6">
        <w:rPr>
          <w:rStyle w:val="Refdenotaderodap"/>
          <w:rFonts w:ascii="Arial" w:hAnsi="Arial" w:cs="Arial"/>
          <w:lang w:val="en-US"/>
        </w:rPr>
        <w:footnoteReference w:id="2"/>
      </w:r>
      <w:r w:rsidR="00A27CC3" w:rsidRPr="004F35E6">
        <w:rPr>
          <w:rFonts w:ascii="Arial" w:hAnsi="Arial" w:cs="Arial"/>
          <w:lang w:val="en-US"/>
        </w:rPr>
        <w:t xml:space="preserve"> – </w:t>
      </w:r>
      <w:r w:rsidR="0023137F" w:rsidRPr="004F35E6">
        <w:rPr>
          <w:rFonts w:ascii="Arial" w:hAnsi="Arial" w:cs="Arial"/>
          <w:lang w:val="en-US"/>
        </w:rPr>
        <w:t xml:space="preserve">on the intention of Members to adopt this model of industrial policy that </w:t>
      </w:r>
      <w:r w:rsidR="001074F7">
        <w:rPr>
          <w:rFonts w:ascii="Arial" w:hAnsi="Arial" w:cs="Arial"/>
          <w:lang w:val="en-US"/>
        </w:rPr>
        <w:t xml:space="preserve">in the medium run </w:t>
      </w:r>
      <w:r w:rsidR="0023137F" w:rsidRPr="004F35E6">
        <w:rPr>
          <w:rFonts w:ascii="Arial" w:hAnsi="Arial" w:cs="Arial"/>
          <w:lang w:val="en-US"/>
        </w:rPr>
        <w:t>m</w:t>
      </w:r>
      <w:r w:rsidR="00C60859" w:rsidRPr="004F35E6">
        <w:rPr>
          <w:rFonts w:ascii="Arial" w:hAnsi="Arial" w:cs="Arial"/>
          <w:lang w:val="en-US"/>
        </w:rPr>
        <w:t xml:space="preserve">ay </w:t>
      </w:r>
      <w:r w:rsidR="001074F7">
        <w:rPr>
          <w:rFonts w:ascii="Arial" w:hAnsi="Arial" w:cs="Arial"/>
          <w:lang w:val="en-US"/>
        </w:rPr>
        <w:t xml:space="preserve">turn </w:t>
      </w:r>
      <w:r w:rsidR="0023137F" w:rsidRPr="004F35E6">
        <w:rPr>
          <w:rFonts w:ascii="Arial" w:hAnsi="Arial" w:cs="Arial"/>
          <w:lang w:val="en-US"/>
        </w:rPr>
        <w:t xml:space="preserve">into a governmental privilege </w:t>
      </w:r>
      <w:r w:rsidR="00F97DD6" w:rsidRPr="004F35E6">
        <w:rPr>
          <w:rFonts w:ascii="Arial" w:hAnsi="Arial" w:cs="Arial"/>
          <w:lang w:val="en-US"/>
        </w:rPr>
        <w:t>of support to increasingly inefficient and uncompetitive industries. The new global trade architecture requires new tools of indu</w:t>
      </w:r>
      <w:r w:rsidR="00C60859" w:rsidRPr="004F35E6">
        <w:rPr>
          <w:rFonts w:ascii="Arial" w:hAnsi="Arial" w:cs="Arial"/>
          <w:lang w:val="en-US"/>
        </w:rPr>
        <w:t>strial policies that are in line</w:t>
      </w:r>
      <w:r w:rsidR="00F97DD6" w:rsidRPr="004F35E6">
        <w:rPr>
          <w:rFonts w:ascii="Arial" w:hAnsi="Arial" w:cs="Arial"/>
          <w:lang w:val="en-US"/>
        </w:rPr>
        <w:t xml:space="preserve"> with an economy increasingly integrated into </w:t>
      </w:r>
      <w:r w:rsidR="00E0084A">
        <w:rPr>
          <w:rFonts w:ascii="Arial" w:hAnsi="Arial" w:cs="Arial"/>
          <w:lang w:val="en-US"/>
        </w:rPr>
        <w:t xml:space="preserve">the </w:t>
      </w:r>
      <w:r w:rsidR="00F97DD6" w:rsidRPr="004F35E6">
        <w:rPr>
          <w:rFonts w:ascii="Arial" w:hAnsi="Arial" w:cs="Arial"/>
          <w:lang w:val="en-US"/>
        </w:rPr>
        <w:t xml:space="preserve">global value chains. In the next sections, </w:t>
      </w:r>
      <w:r w:rsidR="008044A9" w:rsidRPr="004F35E6">
        <w:rPr>
          <w:rFonts w:ascii="Arial" w:hAnsi="Arial" w:cs="Arial"/>
          <w:lang w:val="en-US"/>
        </w:rPr>
        <w:t>the fragmentation of th</w:t>
      </w:r>
      <w:r w:rsidR="0020091D" w:rsidRPr="004F35E6">
        <w:rPr>
          <w:rFonts w:ascii="Arial" w:hAnsi="Arial" w:cs="Arial"/>
          <w:lang w:val="en-US"/>
        </w:rPr>
        <w:t>e IIL</w:t>
      </w:r>
      <w:r w:rsidR="008044A9" w:rsidRPr="004F35E6">
        <w:rPr>
          <w:rFonts w:ascii="Arial" w:hAnsi="Arial" w:cs="Arial"/>
          <w:lang w:val="en-US"/>
        </w:rPr>
        <w:t xml:space="preserve"> regime, the advantages and disadvantages of LCRs, the reach and scope of Articles III. 4 of </w:t>
      </w:r>
      <w:r w:rsidR="00F51631" w:rsidRPr="004F35E6">
        <w:rPr>
          <w:rFonts w:ascii="Arial" w:hAnsi="Arial" w:cs="Arial"/>
          <w:lang w:val="en-US"/>
        </w:rPr>
        <w:t xml:space="preserve">the </w:t>
      </w:r>
      <w:r w:rsidR="008044A9" w:rsidRPr="004F35E6">
        <w:rPr>
          <w:rFonts w:ascii="Arial" w:hAnsi="Arial" w:cs="Arial"/>
          <w:lang w:val="en-US"/>
        </w:rPr>
        <w:t xml:space="preserve">GATT 1994 and 2.1 of TRIMs and the consistent and coherent rulings </w:t>
      </w:r>
      <w:r w:rsidR="00DC50DB" w:rsidRPr="004F35E6">
        <w:rPr>
          <w:rFonts w:ascii="Arial" w:hAnsi="Arial" w:cs="Arial"/>
          <w:lang w:val="en-US"/>
        </w:rPr>
        <w:t>i</w:t>
      </w:r>
      <w:r w:rsidR="008044A9" w:rsidRPr="004F35E6">
        <w:rPr>
          <w:rFonts w:ascii="Arial" w:hAnsi="Arial" w:cs="Arial"/>
          <w:lang w:val="en-US"/>
        </w:rPr>
        <w:t xml:space="preserve">n the cases </w:t>
      </w:r>
      <w:r w:rsidR="008044A9" w:rsidRPr="004F35E6">
        <w:rPr>
          <w:rFonts w:ascii="Arial" w:hAnsi="Arial" w:cs="Arial"/>
          <w:i/>
          <w:lang w:val="en-US"/>
        </w:rPr>
        <w:t>Indonesi</w:t>
      </w:r>
      <w:r w:rsidR="00DC50DB" w:rsidRPr="004F35E6">
        <w:rPr>
          <w:rFonts w:ascii="Arial" w:hAnsi="Arial" w:cs="Arial"/>
          <w:i/>
          <w:lang w:val="en-US"/>
        </w:rPr>
        <w:t xml:space="preserve">a – </w:t>
      </w:r>
      <w:r w:rsidR="008044A9" w:rsidRPr="004F35E6">
        <w:rPr>
          <w:rFonts w:ascii="Arial" w:hAnsi="Arial" w:cs="Arial"/>
          <w:i/>
          <w:lang w:val="en-US"/>
        </w:rPr>
        <w:t>Autos</w:t>
      </w:r>
      <w:r w:rsidR="00DC50DB" w:rsidRPr="004F35E6">
        <w:rPr>
          <w:rFonts w:ascii="Arial" w:hAnsi="Arial" w:cs="Arial"/>
          <w:lang w:val="en-US"/>
        </w:rPr>
        <w:t xml:space="preserve">, </w:t>
      </w:r>
      <w:r w:rsidR="00DC50DB" w:rsidRPr="004F35E6">
        <w:rPr>
          <w:rFonts w:ascii="Arial" w:hAnsi="Arial" w:cs="Arial"/>
          <w:i/>
          <w:lang w:val="en-US"/>
        </w:rPr>
        <w:t>Canada – Autos</w:t>
      </w:r>
      <w:r w:rsidR="00DC50DB" w:rsidRPr="004F35E6">
        <w:rPr>
          <w:rFonts w:ascii="Arial" w:hAnsi="Arial" w:cs="Arial"/>
          <w:lang w:val="en-US"/>
        </w:rPr>
        <w:t xml:space="preserve">, </w:t>
      </w:r>
      <w:r w:rsidR="00DC50DB" w:rsidRPr="004F35E6">
        <w:rPr>
          <w:rFonts w:ascii="Arial" w:hAnsi="Arial" w:cs="Arial"/>
          <w:i/>
          <w:lang w:val="en-US"/>
        </w:rPr>
        <w:t>India – Autos</w:t>
      </w:r>
      <w:r w:rsidR="00DC50DB" w:rsidRPr="004F35E6">
        <w:rPr>
          <w:rFonts w:ascii="Arial" w:hAnsi="Arial" w:cs="Arial"/>
          <w:lang w:val="en-US"/>
        </w:rPr>
        <w:t xml:space="preserve">, </w:t>
      </w:r>
      <w:r w:rsidR="00DC50DB" w:rsidRPr="004F35E6">
        <w:rPr>
          <w:rFonts w:ascii="Arial" w:hAnsi="Arial" w:cs="Arial"/>
          <w:i/>
          <w:lang w:val="en-US"/>
        </w:rPr>
        <w:t>China – Auto Parts</w:t>
      </w:r>
      <w:r w:rsidR="00DC50DB" w:rsidRPr="004F35E6">
        <w:rPr>
          <w:rFonts w:ascii="Arial" w:hAnsi="Arial" w:cs="Arial"/>
          <w:lang w:val="en-US"/>
        </w:rPr>
        <w:t xml:space="preserve">, </w:t>
      </w:r>
      <w:r w:rsidR="00DC50DB" w:rsidRPr="004F35E6">
        <w:rPr>
          <w:rFonts w:ascii="Arial" w:hAnsi="Arial" w:cs="Arial"/>
          <w:i/>
          <w:lang w:val="en-US"/>
        </w:rPr>
        <w:t>Canada Renewable Energy</w:t>
      </w:r>
      <w:r w:rsidR="00DC50DB" w:rsidRPr="004F35E6">
        <w:rPr>
          <w:rFonts w:ascii="Arial" w:hAnsi="Arial" w:cs="Arial"/>
          <w:lang w:val="en-US"/>
        </w:rPr>
        <w:t xml:space="preserve">, </w:t>
      </w:r>
      <w:r w:rsidR="00DC50DB" w:rsidRPr="004F35E6">
        <w:rPr>
          <w:rFonts w:ascii="Arial" w:hAnsi="Arial" w:cs="Arial"/>
          <w:i/>
          <w:lang w:val="en-US"/>
        </w:rPr>
        <w:t>India – Solar Cells</w:t>
      </w:r>
      <w:r w:rsidR="00DC50DB" w:rsidRPr="004F35E6">
        <w:rPr>
          <w:rFonts w:ascii="Arial" w:hAnsi="Arial" w:cs="Arial"/>
          <w:lang w:val="en-US"/>
        </w:rPr>
        <w:t xml:space="preserve"> and </w:t>
      </w:r>
      <w:r w:rsidR="00DC50DB" w:rsidRPr="004F35E6">
        <w:rPr>
          <w:rFonts w:ascii="Arial" w:hAnsi="Arial" w:cs="Arial"/>
          <w:i/>
          <w:lang w:val="en-US"/>
        </w:rPr>
        <w:t xml:space="preserve">INOVAR – AUTO </w:t>
      </w:r>
      <w:r w:rsidR="00DC50DB" w:rsidRPr="004F35E6">
        <w:rPr>
          <w:rFonts w:ascii="Arial" w:hAnsi="Arial" w:cs="Arial"/>
          <w:lang w:val="en-US"/>
        </w:rPr>
        <w:t>are discussed.</w:t>
      </w:r>
      <w:r w:rsidR="00DC50DB" w:rsidRPr="004F35E6">
        <w:rPr>
          <w:rFonts w:ascii="Arial" w:hAnsi="Arial" w:cs="Arial"/>
          <w:i/>
          <w:lang w:val="en-US"/>
        </w:rPr>
        <w:t xml:space="preserve"> </w:t>
      </w:r>
      <w:r w:rsidR="009419E5" w:rsidRPr="004F35E6">
        <w:rPr>
          <w:rFonts w:ascii="Arial" w:hAnsi="Arial" w:cs="Arial"/>
          <w:lang w:val="en-US"/>
        </w:rPr>
        <w:t xml:space="preserve">The inadequacy of the use of LCRs </w:t>
      </w:r>
      <w:r w:rsidR="000E069D" w:rsidRPr="004F35E6">
        <w:rPr>
          <w:rFonts w:ascii="Arial" w:hAnsi="Arial" w:cs="Arial"/>
          <w:lang w:val="en-US"/>
        </w:rPr>
        <w:t>and alternative measures are</w:t>
      </w:r>
      <w:r w:rsidR="009419E5" w:rsidRPr="004F35E6">
        <w:rPr>
          <w:rFonts w:ascii="Arial" w:hAnsi="Arial" w:cs="Arial"/>
          <w:lang w:val="en-US"/>
        </w:rPr>
        <w:t xml:space="preserve"> also examined</w:t>
      </w:r>
      <w:r w:rsidR="000E069D" w:rsidRPr="004F35E6">
        <w:rPr>
          <w:rFonts w:ascii="Arial" w:hAnsi="Arial" w:cs="Arial"/>
          <w:lang w:val="en-US"/>
        </w:rPr>
        <w:t xml:space="preserve">. </w:t>
      </w:r>
    </w:p>
    <w:p w14:paraId="2F1717A7" w14:textId="77777777" w:rsidR="009D3858" w:rsidRPr="00D815B6" w:rsidRDefault="00D815B6" w:rsidP="00D815B6">
      <w:pPr>
        <w:tabs>
          <w:tab w:val="num" w:pos="720"/>
          <w:tab w:val="num" w:pos="1440"/>
        </w:tabs>
        <w:spacing w:line="240" w:lineRule="auto"/>
        <w:jc w:val="both"/>
        <w:rPr>
          <w:rFonts w:ascii="Arial" w:hAnsi="Arial" w:cs="Arial"/>
          <w:b/>
          <w:lang w:val="en-US"/>
        </w:rPr>
      </w:pPr>
      <w:r>
        <w:rPr>
          <w:rFonts w:ascii="Arial" w:hAnsi="Arial" w:cs="Arial"/>
          <w:b/>
          <w:sz w:val="24"/>
          <w:szCs w:val="24"/>
          <w:lang w:val="en-US"/>
        </w:rPr>
        <w:t>2</w:t>
      </w:r>
      <w:r>
        <w:rPr>
          <w:rFonts w:ascii="Arial" w:hAnsi="Arial" w:cs="Arial"/>
          <w:b/>
          <w:sz w:val="24"/>
          <w:szCs w:val="24"/>
          <w:lang w:val="en-US"/>
        </w:rPr>
        <w:tab/>
      </w:r>
      <w:r w:rsidR="00C57958" w:rsidRPr="00207CFC">
        <w:rPr>
          <w:rFonts w:ascii="Arial" w:hAnsi="Arial" w:cs="Arial"/>
          <w:b/>
          <w:sz w:val="24"/>
          <w:szCs w:val="24"/>
          <w:lang w:val="en-US"/>
        </w:rPr>
        <w:t xml:space="preserve">The fragmentation of </w:t>
      </w:r>
      <w:r w:rsidR="005A1588" w:rsidRPr="00207CFC">
        <w:rPr>
          <w:rFonts w:ascii="Arial" w:hAnsi="Arial" w:cs="Arial"/>
          <w:b/>
          <w:sz w:val="24"/>
          <w:szCs w:val="24"/>
          <w:lang w:val="en-US"/>
        </w:rPr>
        <w:t>the IIL</w:t>
      </w:r>
      <w:r w:rsidR="00C57958" w:rsidRPr="00207CFC">
        <w:rPr>
          <w:rFonts w:ascii="Arial" w:hAnsi="Arial" w:cs="Arial"/>
          <w:b/>
          <w:sz w:val="24"/>
          <w:szCs w:val="24"/>
          <w:lang w:val="en-US"/>
        </w:rPr>
        <w:t xml:space="preserve"> regime</w:t>
      </w:r>
    </w:p>
    <w:p w14:paraId="23F3233B" w14:textId="77777777" w:rsidR="00BC3560" w:rsidRPr="004F35E6" w:rsidRDefault="001C6B8C" w:rsidP="004F35E6">
      <w:pPr>
        <w:spacing w:line="240" w:lineRule="auto"/>
        <w:jc w:val="both"/>
        <w:rPr>
          <w:rFonts w:ascii="Arial" w:hAnsi="Arial" w:cs="Arial"/>
          <w:lang w:val="en-US"/>
        </w:rPr>
      </w:pPr>
      <w:r>
        <w:rPr>
          <w:rFonts w:ascii="Arial" w:hAnsi="Arial" w:cs="Arial"/>
          <w:lang w:val="en-US"/>
        </w:rPr>
        <w:t>T</w:t>
      </w:r>
      <w:r w:rsidR="00BC3560" w:rsidRPr="004F35E6">
        <w:rPr>
          <w:rFonts w:ascii="Arial" w:hAnsi="Arial" w:cs="Arial"/>
          <w:lang w:val="en-US"/>
        </w:rPr>
        <w:t xml:space="preserve">he </w:t>
      </w:r>
      <w:r w:rsidR="00C57958" w:rsidRPr="004F35E6">
        <w:rPr>
          <w:rFonts w:ascii="Arial" w:hAnsi="Arial" w:cs="Arial"/>
          <w:lang w:val="en-US"/>
        </w:rPr>
        <w:t>I</w:t>
      </w:r>
      <w:r w:rsidR="0020091D" w:rsidRPr="004F35E6">
        <w:rPr>
          <w:rFonts w:ascii="Arial" w:hAnsi="Arial" w:cs="Arial"/>
          <w:lang w:val="en-US"/>
        </w:rPr>
        <w:t>IL</w:t>
      </w:r>
      <w:r w:rsidR="00BC3560" w:rsidRPr="004F35E6">
        <w:rPr>
          <w:rFonts w:ascii="Arial" w:hAnsi="Arial" w:cs="Arial"/>
          <w:lang w:val="en-US"/>
        </w:rPr>
        <w:t xml:space="preserve">, </w:t>
      </w:r>
      <w:r w:rsidR="00C57958" w:rsidRPr="004F35E6">
        <w:rPr>
          <w:rFonts w:ascii="Arial" w:hAnsi="Arial" w:cs="Arial"/>
          <w:lang w:val="en-US"/>
        </w:rPr>
        <w:t xml:space="preserve">unlike the WTO or EU law, </w:t>
      </w:r>
      <w:r w:rsidR="00BC3560" w:rsidRPr="004F35E6">
        <w:rPr>
          <w:rFonts w:ascii="Arial" w:hAnsi="Arial" w:cs="Arial"/>
          <w:lang w:val="en-US"/>
        </w:rPr>
        <w:t>is</w:t>
      </w:r>
      <w:r w:rsidR="00BC3560" w:rsidRPr="007F02A4">
        <w:rPr>
          <w:rFonts w:ascii="Arial" w:hAnsi="Arial" w:cs="Arial"/>
          <w:lang w:val="en-US"/>
        </w:rPr>
        <w:t xml:space="preserve"> not</w:t>
      </w:r>
      <w:r w:rsidR="00BC3560" w:rsidRPr="004F35E6">
        <w:rPr>
          <w:rFonts w:ascii="Arial" w:hAnsi="Arial" w:cs="Arial"/>
          <w:lang w:val="en-US"/>
        </w:rPr>
        <w:t xml:space="preserve"> organized around a multilateral treaty or central international organization</w:t>
      </w:r>
      <w:r w:rsidR="00C57958" w:rsidRPr="004F35E6">
        <w:rPr>
          <w:rFonts w:ascii="Arial" w:hAnsi="Arial" w:cs="Arial"/>
          <w:lang w:val="en-US"/>
        </w:rPr>
        <w:t>. On the contrary</w:t>
      </w:r>
      <w:r w:rsidR="00BC3560" w:rsidRPr="004F35E6">
        <w:rPr>
          <w:rFonts w:ascii="Arial" w:hAnsi="Arial" w:cs="Arial"/>
          <w:lang w:val="en-US"/>
        </w:rPr>
        <w:t>, IIL is heavily decentralized and composed of a multitude of bilateral, regional and multilateral treaties</w:t>
      </w:r>
      <w:r w:rsidR="007F02A4">
        <w:rPr>
          <w:rFonts w:ascii="Arial" w:hAnsi="Arial" w:cs="Arial"/>
          <w:lang w:val="en-US"/>
        </w:rPr>
        <w:t xml:space="preserve">, such as </w:t>
      </w:r>
      <w:r w:rsidR="00BC3560" w:rsidRPr="004F35E6">
        <w:rPr>
          <w:rFonts w:ascii="Arial" w:hAnsi="Arial" w:cs="Arial"/>
          <w:lang w:val="en-US"/>
        </w:rPr>
        <w:t xml:space="preserve">BITs, </w:t>
      </w:r>
      <w:r w:rsidR="007F02A4">
        <w:rPr>
          <w:rFonts w:ascii="Arial" w:hAnsi="Arial" w:cs="Arial"/>
          <w:lang w:val="en-US"/>
        </w:rPr>
        <w:t>Free Trade Agreements like the North American Free Trade Agreement (</w:t>
      </w:r>
      <w:r w:rsidR="00BC3560" w:rsidRPr="004F35E6">
        <w:rPr>
          <w:rFonts w:ascii="Arial" w:hAnsi="Arial" w:cs="Arial"/>
          <w:lang w:val="en-US"/>
        </w:rPr>
        <w:t>NAFTA</w:t>
      </w:r>
      <w:r w:rsidR="007F02A4">
        <w:rPr>
          <w:rFonts w:ascii="Arial" w:hAnsi="Arial" w:cs="Arial"/>
          <w:lang w:val="en-US"/>
        </w:rPr>
        <w:t>) and</w:t>
      </w:r>
      <w:r w:rsidR="00BC3560" w:rsidRPr="004F35E6">
        <w:rPr>
          <w:rFonts w:ascii="Arial" w:hAnsi="Arial" w:cs="Arial"/>
          <w:lang w:val="en-US"/>
        </w:rPr>
        <w:t xml:space="preserve"> the </w:t>
      </w:r>
      <w:r w:rsidR="007F02A4">
        <w:rPr>
          <w:rFonts w:ascii="Arial" w:hAnsi="Arial" w:cs="Arial"/>
          <w:lang w:val="en-US"/>
        </w:rPr>
        <w:t>Energy Charter Treaty</w:t>
      </w:r>
      <w:r w:rsidR="00C21C90">
        <w:rPr>
          <w:rFonts w:ascii="Arial" w:hAnsi="Arial" w:cs="Arial"/>
          <w:lang w:val="en-US"/>
        </w:rPr>
        <w:t xml:space="preserve"> (ECT)</w:t>
      </w:r>
      <w:r w:rsidR="00BC3560" w:rsidRPr="004F35E6">
        <w:rPr>
          <w:rFonts w:ascii="Arial" w:hAnsi="Arial" w:cs="Arial"/>
          <w:lang w:val="en-US"/>
        </w:rPr>
        <w:t>, customary international law, domestic laws, contracts and insurance schemes, and a diversity of arbitral institutions</w:t>
      </w:r>
      <w:r w:rsidR="007F02A4">
        <w:rPr>
          <w:rFonts w:ascii="Arial" w:hAnsi="Arial" w:cs="Arial"/>
          <w:lang w:val="en-US"/>
        </w:rPr>
        <w:t>, such as the</w:t>
      </w:r>
      <w:r w:rsidR="00761CAC">
        <w:rPr>
          <w:rFonts w:ascii="Arial" w:hAnsi="Arial" w:cs="Arial"/>
          <w:lang w:val="en-US"/>
        </w:rPr>
        <w:t xml:space="preserve"> International Centre for Settlement of Investment Disputes </w:t>
      </w:r>
      <w:r w:rsidR="00BC3560" w:rsidRPr="004F35E6">
        <w:rPr>
          <w:rFonts w:ascii="Arial" w:hAnsi="Arial" w:cs="Arial"/>
          <w:lang w:val="en-US"/>
        </w:rPr>
        <w:t>(ICSID</w:t>
      </w:r>
      <w:r w:rsidR="00761CAC">
        <w:rPr>
          <w:rFonts w:ascii="Arial" w:hAnsi="Arial" w:cs="Arial"/>
          <w:lang w:val="en-US"/>
        </w:rPr>
        <w:t>)</w:t>
      </w:r>
      <w:r w:rsidR="00BC3560" w:rsidRPr="004F35E6">
        <w:rPr>
          <w:rFonts w:ascii="Arial" w:hAnsi="Arial" w:cs="Arial"/>
          <w:lang w:val="en-US"/>
        </w:rPr>
        <w:t xml:space="preserve">, </w:t>
      </w:r>
      <w:r w:rsidR="00761CAC">
        <w:rPr>
          <w:rFonts w:ascii="Arial" w:hAnsi="Arial" w:cs="Arial"/>
          <w:lang w:val="en-US"/>
        </w:rPr>
        <w:t>the United Nations Commission on International Law (</w:t>
      </w:r>
      <w:r w:rsidR="00BC3560" w:rsidRPr="004F35E6">
        <w:rPr>
          <w:rFonts w:ascii="Arial" w:hAnsi="Arial" w:cs="Arial"/>
          <w:lang w:val="en-US"/>
        </w:rPr>
        <w:t>UNCITRAL</w:t>
      </w:r>
      <w:r w:rsidR="00761CAC">
        <w:rPr>
          <w:rFonts w:ascii="Arial" w:hAnsi="Arial" w:cs="Arial"/>
          <w:lang w:val="en-US"/>
        </w:rPr>
        <w:t>) and the International Chamber of Commerce (</w:t>
      </w:r>
      <w:r w:rsidR="00BC3560" w:rsidRPr="004F35E6">
        <w:rPr>
          <w:rFonts w:ascii="Arial" w:hAnsi="Arial" w:cs="Arial"/>
          <w:lang w:val="en-US"/>
        </w:rPr>
        <w:t>ICC</w:t>
      </w:r>
      <w:r w:rsidR="00761CAC">
        <w:rPr>
          <w:rFonts w:ascii="Arial" w:hAnsi="Arial" w:cs="Arial"/>
          <w:lang w:val="en-US"/>
        </w:rPr>
        <w:t>)</w:t>
      </w:r>
      <w:r w:rsidR="00BC3560" w:rsidRPr="004F35E6">
        <w:rPr>
          <w:rFonts w:ascii="Arial" w:hAnsi="Arial" w:cs="Arial"/>
          <w:lang w:val="en-US"/>
        </w:rPr>
        <w:t xml:space="preserve"> and domestic courts and investment agencies, </w:t>
      </w:r>
      <w:r w:rsidR="00BC3560" w:rsidRPr="00761CAC">
        <w:rPr>
          <w:rFonts w:ascii="Arial" w:hAnsi="Arial" w:cs="Arial"/>
          <w:lang w:val="en-US"/>
        </w:rPr>
        <w:t>without</w:t>
      </w:r>
      <w:r w:rsidR="00BC3560" w:rsidRPr="004F35E6">
        <w:rPr>
          <w:rFonts w:ascii="Arial" w:hAnsi="Arial" w:cs="Arial"/>
          <w:lang w:val="en-US"/>
        </w:rPr>
        <w:t xml:space="preserve"> central authority.</w:t>
      </w:r>
      <w:r w:rsidR="00C57958" w:rsidRPr="004F35E6">
        <w:rPr>
          <w:rStyle w:val="Refdenotaderodap"/>
          <w:rFonts w:ascii="Arial" w:hAnsi="Arial" w:cs="Arial"/>
        </w:rPr>
        <w:footnoteReference w:id="3"/>
      </w:r>
      <w:r w:rsidR="00431BD8" w:rsidRPr="004F35E6">
        <w:rPr>
          <w:rFonts w:ascii="Arial" w:hAnsi="Arial" w:cs="Arial"/>
          <w:lang w:val="en-US"/>
        </w:rPr>
        <w:tab/>
      </w:r>
    </w:p>
    <w:p w14:paraId="419B65CD" w14:textId="77777777" w:rsidR="00BC3560" w:rsidRPr="004F35E6" w:rsidRDefault="00C57958" w:rsidP="004F35E6">
      <w:pPr>
        <w:spacing w:after="0" w:line="240" w:lineRule="auto"/>
        <w:jc w:val="both"/>
        <w:rPr>
          <w:rFonts w:ascii="Arial" w:hAnsi="Arial" w:cs="Arial"/>
          <w:lang w:val="en-US"/>
        </w:rPr>
      </w:pPr>
      <w:r w:rsidRPr="004F35E6">
        <w:rPr>
          <w:rFonts w:ascii="Arial" w:hAnsi="Arial" w:cs="Arial"/>
          <w:lang w:val="en-US"/>
        </w:rPr>
        <w:tab/>
        <w:t xml:space="preserve">Over the years, there have been </w:t>
      </w:r>
      <w:r w:rsidR="00761CAC">
        <w:rPr>
          <w:rFonts w:ascii="Arial" w:hAnsi="Arial" w:cs="Arial"/>
          <w:lang w:val="en-US"/>
        </w:rPr>
        <w:t>several</w:t>
      </w:r>
      <w:r w:rsidRPr="004F35E6">
        <w:rPr>
          <w:rFonts w:ascii="Arial" w:hAnsi="Arial" w:cs="Arial"/>
          <w:lang w:val="en-US"/>
        </w:rPr>
        <w:t xml:space="preserve"> unsuccessful attempts to establish a regulation on international investments mainly conducted by the </w:t>
      </w:r>
      <w:proofErr w:type="spellStart"/>
      <w:r w:rsidR="00761CAC">
        <w:rPr>
          <w:rFonts w:ascii="Arial" w:hAnsi="Arial" w:cs="Arial"/>
          <w:lang w:val="en-US"/>
        </w:rPr>
        <w:t>Organisation</w:t>
      </w:r>
      <w:proofErr w:type="spellEnd"/>
      <w:r w:rsidR="00761CAC">
        <w:rPr>
          <w:rFonts w:ascii="Arial" w:hAnsi="Arial" w:cs="Arial"/>
          <w:lang w:val="en-US"/>
        </w:rPr>
        <w:t xml:space="preserve"> for Economic Co-operation and Development (</w:t>
      </w:r>
      <w:r w:rsidRPr="004F35E6">
        <w:rPr>
          <w:rFonts w:ascii="Arial" w:hAnsi="Arial" w:cs="Arial"/>
          <w:lang w:val="en-US"/>
        </w:rPr>
        <w:t>OECD</w:t>
      </w:r>
      <w:r w:rsidR="002315B8">
        <w:rPr>
          <w:rFonts w:ascii="Arial" w:hAnsi="Arial" w:cs="Arial"/>
          <w:lang w:val="en-US"/>
        </w:rPr>
        <w:t>)</w:t>
      </w:r>
      <w:r w:rsidR="0043208E" w:rsidRPr="004F35E6">
        <w:rPr>
          <w:rFonts w:ascii="Arial" w:hAnsi="Arial" w:cs="Arial"/>
          <w:lang w:val="en-US"/>
        </w:rPr>
        <w:t xml:space="preserve">. OECD’s most relevant initiative was the presentation, in 1995, of the proposal for a </w:t>
      </w:r>
      <w:r w:rsidR="0043208E" w:rsidRPr="002315B8">
        <w:rPr>
          <w:rFonts w:ascii="Arial" w:hAnsi="Arial" w:cs="Arial"/>
          <w:lang w:val="en-US"/>
        </w:rPr>
        <w:t xml:space="preserve">Multilateral Agreement on Investment </w:t>
      </w:r>
      <w:r w:rsidR="0043208E" w:rsidRPr="004F35E6">
        <w:rPr>
          <w:rFonts w:ascii="Arial" w:hAnsi="Arial" w:cs="Arial"/>
          <w:lang w:val="en-US"/>
        </w:rPr>
        <w:t xml:space="preserve">(MAI), which eventually was not approved by its </w:t>
      </w:r>
      <w:r w:rsidR="002315B8">
        <w:rPr>
          <w:rFonts w:ascii="Arial" w:hAnsi="Arial" w:cs="Arial"/>
          <w:lang w:val="en-US"/>
        </w:rPr>
        <w:t>m</w:t>
      </w:r>
      <w:r w:rsidR="0043208E" w:rsidRPr="004F35E6">
        <w:rPr>
          <w:rFonts w:ascii="Arial" w:hAnsi="Arial" w:cs="Arial"/>
          <w:lang w:val="en-US"/>
        </w:rPr>
        <w:t>embers.</w:t>
      </w:r>
    </w:p>
    <w:p w14:paraId="019D3B60" w14:textId="77777777" w:rsidR="00BC3560" w:rsidRPr="002315B8" w:rsidRDefault="00BC3560" w:rsidP="004F35E6">
      <w:pPr>
        <w:spacing w:after="0" w:line="240" w:lineRule="auto"/>
        <w:jc w:val="both"/>
        <w:rPr>
          <w:rFonts w:ascii="Arial" w:hAnsi="Arial" w:cs="Arial"/>
          <w:lang w:val="en-GB"/>
        </w:rPr>
      </w:pPr>
    </w:p>
    <w:p w14:paraId="07FB7372" w14:textId="77777777" w:rsidR="0043208E" w:rsidRPr="004F35E6" w:rsidRDefault="0043208E" w:rsidP="004F35E6">
      <w:pPr>
        <w:spacing w:after="0" w:line="240" w:lineRule="auto"/>
        <w:jc w:val="both"/>
        <w:rPr>
          <w:rFonts w:ascii="Arial" w:hAnsi="Arial" w:cs="Arial"/>
          <w:lang w:val="en-US"/>
        </w:rPr>
      </w:pPr>
      <w:r w:rsidRPr="004F35E6">
        <w:rPr>
          <w:rFonts w:ascii="Arial" w:hAnsi="Arial" w:cs="Arial"/>
          <w:lang w:val="en-US"/>
        </w:rPr>
        <w:tab/>
      </w:r>
      <w:r w:rsidR="00A24FF4" w:rsidRPr="004F35E6">
        <w:rPr>
          <w:rFonts w:ascii="Arial" w:hAnsi="Arial" w:cs="Arial"/>
          <w:lang w:val="en-US"/>
        </w:rPr>
        <w:t>I</w:t>
      </w:r>
      <w:r w:rsidRPr="004F35E6">
        <w:rPr>
          <w:rFonts w:ascii="Arial" w:hAnsi="Arial" w:cs="Arial"/>
          <w:lang w:val="en-US"/>
        </w:rPr>
        <w:t>n th</w:t>
      </w:r>
      <w:r w:rsidR="00064FD6" w:rsidRPr="004F35E6">
        <w:rPr>
          <w:rFonts w:ascii="Arial" w:hAnsi="Arial" w:cs="Arial"/>
          <w:lang w:val="en-US"/>
        </w:rPr>
        <w:t>at</w:t>
      </w:r>
      <w:r w:rsidR="00A24FF4" w:rsidRPr="004F35E6">
        <w:rPr>
          <w:rFonts w:ascii="Arial" w:hAnsi="Arial" w:cs="Arial"/>
          <w:lang w:val="en-US"/>
        </w:rPr>
        <w:t xml:space="preserve"> very</w:t>
      </w:r>
      <w:r w:rsidRPr="004F35E6">
        <w:rPr>
          <w:rFonts w:ascii="Arial" w:hAnsi="Arial" w:cs="Arial"/>
          <w:lang w:val="en-US"/>
        </w:rPr>
        <w:t xml:space="preserve"> same year</w:t>
      </w:r>
      <w:r w:rsidR="002315B8">
        <w:rPr>
          <w:rFonts w:ascii="Arial" w:hAnsi="Arial" w:cs="Arial"/>
          <w:lang w:val="en-US"/>
        </w:rPr>
        <w:t xml:space="preserve"> though</w:t>
      </w:r>
      <w:r w:rsidR="00A24FF4" w:rsidRPr="004F35E6">
        <w:rPr>
          <w:rFonts w:ascii="Arial" w:hAnsi="Arial" w:cs="Arial"/>
          <w:lang w:val="en-US"/>
        </w:rPr>
        <w:t xml:space="preserve">, the WTO Agreement composed of various agreements, such as </w:t>
      </w:r>
      <w:r w:rsidR="005A1588" w:rsidRPr="004F35E6">
        <w:rPr>
          <w:rFonts w:ascii="Arial" w:hAnsi="Arial" w:cs="Arial"/>
          <w:lang w:val="en-US"/>
        </w:rPr>
        <w:t xml:space="preserve">the </w:t>
      </w:r>
      <w:r w:rsidR="00A24FF4" w:rsidRPr="004F35E6">
        <w:rPr>
          <w:rFonts w:ascii="Arial" w:hAnsi="Arial" w:cs="Arial"/>
          <w:lang w:val="en-US"/>
        </w:rPr>
        <w:t>GATS</w:t>
      </w:r>
      <w:r w:rsidR="005A1588" w:rsidRPr="004F35E6">
        <w:rPr>
          <w:rFonts w:ascii="Arial" w:hAnsi="Arial" w:cs="Arial"/>
          <w:lang w:val="en-US"/>
        </w:rPr>
        <w:t xml:space="preserve">, </w:t>
      </w:r>
      <w:r w:rsidR="00A24FF4" w:rsidRPr="004F35E6">
        <w:rPr>
          <w:rFonts w:ascii="Arial" w:hAnsi="Arial" w:cs="Arial"/>
          <w:lang w:val="en-US"/>
        </w:rPr>
        <w:t>TRIPS</w:t>
      </w:r>
      <w:r w:rsidR="005A1588" w:rsidRPr="004F35E6">
        <w:rPr>
          <w:rFonts w:ascii="Arial" w:hAnsi="Arial" w:cs="Arial"/>
          <w:lang w:val="en-US"/>
        </w:rPr>
        <w:t xml:space="preserve">, </w:t>
      </w:r>
      <w:r w:rsidR="00A24FF4" w:rsidRPr="004F35E6">
        <w:rPr>
          <w:rFonts w:ascii="Arial" w:hAnsi="Arial" w:cs="Arial"/>
          <w:lang w:val="en-US"/>
        </w:rPr>
        <w:t xml:space="preserve">GPA, SCM and TRIMs, </w:t>
      </w:r>
      <w:r w:rsidR="00BE20C3">
        <w:rPr>
          <w:rFonts w:ascii="Arial" w:hAnsi="Arial" w:cs="Arial"/>
          <w:lang w:val="en-US"/>
        </w:rPr>
        <w:t>came</w:t>
      </w:r>
      <w:r w:rsidR="00A24FF4" w:rsidRPr="004F35E6">
        <w:rPr>
          <w:rFonts w:ascii="Arial" w:hAnsi="Arial" w:cs="Arial"/>
          <w:lang w:val="en-US"/>
        </w:rPr>
        <w:t xml:space="preserve"> into force. </w:t>
      </w:r>
      <w:r w:rsidR="002315B8">
        <w:rPr>
          <w:rFonts w:ascii="Arial" w:hAnsi="Arial" w:cs="Arial"/>
          <w:lang w:val="en-US"/>
        </w:rPr>
        <w:t>While</w:t>
      </w:r>
      <w:r w:rsidR="00A24FF4" w:rsidRPr="004F35E6">
        <w:rPr>
          <w:rFonts w:ascii="Arial" w:hAnsi="Arial" w:cs="Arial"/>
          <w:lang w:val="en-US"/>
        </w:rPr>
        <w:t xml:space="preserve"> those agreements fell short of providing for a comprehensive set of liberalizing measures and protection </w:t>
      </w:r>
      <w:r w:rsidR="008F08C5" w:rsidRPr="004F35E6">
        <w:rPr>
          <w:rFonts w:ascii="Arial" w:hAnsi="Arial" w:cs="Arial"/>
          <w:lang w:val="en-US"/>
        </w:rPr>
        <w:t>for</w:t>
      </w:r>
      <w:r w:rsidR="00A24FF4" w:rsidRPr="004F35E6">
        <w:rPr>
          <w:rFonts w:ascii="Arial" w:hAnsi="Arial" w:cs="Arial"/>
          <w:lang w:val="en-US"/>
        </w:rPr>
        <w:t xml:space="preserve"> international investments</w:t>
      </w:r>
      <w:r w:rsidR="00D667E4" w:rsidRPr="004F35E6">
        <w:rPr>
          <w:rFonts w:ascii="Arial" w:hAnsi="Arial" w:cs="Arial"/>
          <w:lang w:val="en-US"/>
        </w:rPr>
        <w:t>, they introduced, as highlighted</w:t>
      </w:r>
      <w:r w:rsidR="00A24FF4" w:rsidRPr="004F35E6">
        <w:rPr>
          <w:rFonts w:ascii="Arial" w:hAnsi="Arial" w:cs="Arial"/>
          <w:lang w:val="en-US"/>
        </w:rPr>
        <w:t xml:space="preserve"> by</w:t>
      </w:r>
      <w:r w:rsidR="00064FD6" w:rsidRPr="004F35E6">
        <w:rPr>
          <w:rFonts w:ascii="Arial" w:hAnsi="Arial" w:cs="Arial"/>
          <w:lang w:val="en-US"/>
        </w:rPr>
        <w:t xml:space="preserve"> Weiss, an “investment dimension” in the multilateral trading system. While the GPA, GATS</w:t>
      </w:r>
      <w:r w:rsidR="008F08C5" w:rsidRPr="004F35E6">
        <w:rPr>
          <w:rFonts w:ascii="Arial" w:hAnsi="Arial" w:cs="Arial"/>
          <w:lang w:val="en-US"/>
        </w:rPr>
        <w:t xml:space="preserve"> and TRIPS set forth obligations related to the entrance and treatment of foreign individuals and companies or their property rights, the TRIMs and the SCM operate indirectly by imposing restrictions </w:t>
      </w:r>
      <w:r w:rsidR="00C91686">
        <w:rPr>
          <w:rFonts w:ascii="Arial" w:hAnsi="Arial" w:cs="Arial"/>
          <w:lang w:val="en-US"/>
        </w:rPr>
        <w:t>on</w:t>
      </w:r>
      <w:r w:rsidR="00EF6360" w:rsidRPr="004F35E6">
        <w:rPr>
          <w:rFonts w:ascii="Arial" w:hAnsi="Arial" w:cs="Arial"/>
          <w:lang w:val="en-US"/>
        </w:rPr>
        <w:t xml:space="preserve"> Members’ ability to adopt investment incentives or influence international investors operations.</w:t>
      </w:r>
      <w:r w:rsidR="00EF6360" w:rsidRPr="004F35E6">
        <w:rPr>
          <w:rStyle w:val="Refdenotaderodap"/>
          <w:rFonts w:ascii="Arial" w:hAnsi="Arial" w:cs="Arial"/>
        </w:rPr>
        <w:footnoteReference w:id="4"/>
      </w:r>
    </w:p>
    <w:p w14:paraId="54889E47" w14:textId="77777777" w:rsidR="00556BC0" w:rsidRPr="004F35E6" w:rsidRDefault="00186C6C" w:rsidP="004F35E6">
      <w:pPr>
        <w:spacing w:after="0" w:line="240" w:lineRule="auto"/>
        <w:jc w:val="both"/>
        <w:rPr>
          <w:rFonts w:ascii="Arial" w:hAnsi="Arial" w:cs="Arial"/>
          <w:lang w:val="en-US"/>
        </w:rPr>
      </w:pPr>
      <w:r w:rsidRPr="004F35E6">
        <w:rPr>
          <w:rFonts w:ascii="Arial" w:hAnsi="Arial" w:cs="Arial"/>
          <w:lang w:val="en-US"/>
        </w:rPr>
        <w:tab/>
      </w:r>
    </w:p>
    <w:p w14:paraId="182CE22C" w14:textId="77777777" w:rsidR="00186C6C" w:rsidRPr="004F35E6" w:rsidRDefault="00556BC0" w:rsidP="004F35E6">
      <w:pPr>
        <w:spacing w:after="0" w:line="240" w:lineRule="auto"/>
        <w:jc w:val="both"/>
        <w:rPr>
          <w:rFonts w:ascii="Arial" w:hAnsi="Arial" w:cs="Arial"/>
          <w:lang w:val="en-US"/>
        </w:rPr>
      </w:pPr>
      <w:r w:rsidRPr="004F35E6">
        <w:rPr>
          <w:rFonts w:ascii="Arial" w:hAnsi="Arial" w:cs="Arial"/>
          <w:lang w:val="en-US"/>
        </w:rPr>
        <w:tab/>
      </w:r>
      <w:r w:rsidR="00186C6C" w:rsidRPr="004F35E6">
        <w:rPr>
          <w:rFonts w:ascii="Arial" w:hAnsi="Arial" w:cs="Arial"/>
          <w:lang w:val="en-US"/>
        </w:rPr>
        <w:t xml:space="preserve">It is exactly under the TRIMs and SCM that restrictions, such as the prohibition </w:t>
      </w:r>
      <w:r w:rsidR="00C91686">
        <w:rPr>
          <w:rFonts w:ascii="Arial" w:hAnsi="Arial" w:cs="Arial"/>
          <w:lang w:val="en-US"/>
        </w:rPr>
        <w:t>on</w:t>
      </w:r>
      <w:r w:rsidR="00186C6C" w:rsidRPr="004F35E6">
        <w:rPr>
          <w:rFonts w:ascii="Arial" w:hAnsi="Arial" w:cs="Arial"/>
          <w:lang w:val="en-US"/>
        </w:rPr>
        <w:t xml:space="preserve"> the u</w:t>
      </w:r>
      <w:r w:rsidR="00A621D0" w:rsidRPr="004F35E6">
        <w:rPr>
          <w:rFonts w:ascii="Arial" w:hAnsi="Arial" w:cs="Arial"/>
          <w:lang w:val="en-US"/>
        </w:rPr>
        <w:t>se of LCRs</w:t>
      </w:r>
      <w:r w:rsidR="00186C6C" w:rsidRPr="004F35E6">
        <w:rPr>
          <w:rFonts w:ascii="Arial" w:hAnsi="Arial" w:cs="Arial"/>
          <w:lang w:val="en-US"/>
        </w:rPr>
        <w:t>,</w:t>
      </w:r>
      <w:r w:rsidR="00DD4834" w:rsidRPr="004F35E6">
        <w:rPr>
          <w:rFonts w:ascii="Arial" w:hAnsi="Arial" w:cs="Arial"/>
          <w:lang w:val="en-US"/>
        </w:rPr>
        <w:t xml:space="preserve"> are found</w:t>
      </w:r>
      <w:r w:rsidR="00186C6C" w:rsidRPr="004F35E6">
        <w:rPr>
          <w:rFonts w:ascii="Arial" w:hAnsi="Arial" w:cs="Arial"/>
          <w:lang w:val="en-US"/>
        </w:rPr>
        <w:t xml:space="preserve">. Article 3.1 (b) of the SCM provides for </w:t>
      </w:r>
      <w:r w:rsidR="00A621D0" w:rsidRPr="004F35E6">
        <w:rPr>
          <w:rFonts w:ascii="Arial" w:hAnsi="Arial" w:cs="Arial"/>
          <w:lang w:val="en-US"/>
        </w:rPr>
        <w:t xml:space="preserve">the most explicit prohibition </w:t>
      </w:r>
      <w:r w:rsidR="00C91686">
        <w:rPr>
          <w:rFonts w:ascii="Arial" w:hAnsi="Arial" w:cs="Arial"/>
          <w:lang w:val="en-US"/>
        </w:rPr>
        <w:t>on</w:t>
      </w:r>
      <w:r w:rsidR="00186C6C" w:rsidRPr="004F35E6">
        <w:rPr>
          <w:rFonts w:ascii="Arial" w:hAnsi="Arial" w:cs="Arial"/>
          <w:lang w:val="en-US"/>
        </w:rPr>
        <w:t xml:space="preserve"> the use of local content measures of all WTO agreements.</w:t>
      </w:r>
      <w:r w:rsidR="00DD4834" w:rsidRPr="004F35E6">
        <w:rPr>
          <w:rFonts w:ascii="Arial" w:hAnsi="Arial" w:cs="Arial"/>
          <w:lang w:val="en-US"/>
        </w:rPr>
        <w:t xml:space="preserve"> Subsidies related to import substitution are those contingent upon the use of domestic over imported goods. Ne</w:t>
      </w:r>
      <w:r w:rsidR="00D667E4" w:rsidRPr="004F35E6">
        <w:rPr>
          <w:rFonts w:ascii="Arial" w:hAnsi="Arial" w:cs="Arial"/>
          <w:lang w:val="en-US"/>
        </w:rPr>
        <w:t>verth</w:t>
      </w:r>
      <w:r w:rsidR="004464EA" w:rsidRPr="004F35E6">
        <w:rPr>
          <w:rFonts w:ascii="Arial" w:hAnsi="Arial" w:cs="Arial"/>
          <w:lang w:val="en-US"/>
        </w:rPr>
        <w:t>eless, the WTO case law shows</w:t>
      </w:r>
      <w:r w:rsidR="00DD4834" w:rsidRPr="004F35E6">
        <w:rPr>
          <w:rFonts w:ascii="Arial" w:hAnsi="Arial" w:cs="Arial"/>
          <w:lang w:val="en-US"/>
        </w:rPr>
        <w:t xml:space="preserve"> that its</w:t>
      </w:r>
      <w:r w:rsidR="000D03B6" w:rsidRPr="004F35E6">
        <w:rPr>
          <w:rFonts w:ascii="Arial" w:hAnsi="Arial" w:cs="Arial"/>
          <w:lang w:val="en-US"/>
        </w:rPr>
        <w:t xml:space="preserve"> adjudicating bodies, </w:t>
      </w:r>
      <w:r w:rsidRPr="004F35E6">
        <w:rPr>
          <w:rFonts w:ascii="Arial" w:hAnsi="Arial" w:cs="Arial"/>
          <w:lang w:val="en-US"/>
        </w:rPr>
        <w:t>the P</w:t>
      </w:r>
      <w:r w:rsidR="00743351" w:rsidRPr="004F35E6">
        <w:rPr>
          <w:rFonts w:ascii="Arial" w:hAnsi="Arial" w:cs="Arial"/>
          <w:lang w:val="en-US"/>
        </w:rPr>
        <w:t>anel</w:t>
      </w:r>
      <w:r w:rsidR="000D03B6" w:rsidRPr="004F35E6">
        <w:rPr>
          <w:rFonts w:ascii="Arial" w:hAnsi="Arial" w:cs="Arial"/>
          <w:lang w:val="en-US"/>
        </w:rPr>
        <w:t xml:space="preserve"> and the AB</w:t>
      </w:r>
      <w:r w:rsidR="00C91686">
        <w:rPr>
          <w:rFonts w:ascii="Arial" w:hAnsi="Arial" w:cs="Arial"/>
          <w:lang w:val="en-US"/>
        </w:rPr>
        <w:t>,</w:t>
      </w:r>
      <w:r w:rsidR="00DD4834" w:rsidRPr="004F35E6">
        <w:rPr>
          <w:rFonts w:ascii="Arial" w:hAnsi="Arial" w:cs="Arial"/>
          <w:lang w:val="en-US"/>
        </w:rPr>
        <w:t xml:space="preserve"> have chosen to </w:t>
      </w:r>
      <w:r w:rsidR="00DD4834" w:rsidRPr="004F35E6">
        <w:rPr>
          <w:rFonts w:ascii="Arial" w:hAnsi="Arial" w:cs="Arial"/>
          <w:lang w:val="en-GB"/>
        </w:rPr>
        <w:t>analyse</w:t>
      </w:r>
      <w:r w:rsidR="00DD4834" w:rsidRPr="004F35E6">
        <w:rPr>
          <w:rFonts w:ascii="Arial" w:hAnsi="Arial" w:cs="Arial"/>
          <w:lang w:val="en-US"/>
        </w:rPr>
        <w:t xml:space="preserve"> the consistency or not </w:t>
      </w:r>
      <w:r w:rsidR="000D03B6" w:rsidRPr="004F35E6">
        <w:rPr>
          <w:rFonts w:ascii="Arial" w:hAnsi="Arial" w:cs="Arial"/>
          <w:lang w:val="en-US"/>
        </w:rPr>
        <w:t>of LCRs</w:t>
      </w:r>
      <w:r w:rsidR="00DD4834" w:rsidRPr="004F35E6">
        <w:rPr>
          <w:rFonts w:ascii="Arial" w:hAnsi="Arial" w:cs="Arial"/>
          <w:lang w:val="en-US"/>
        </w:rPr>
        <w:t xml:space="preserve"> with </w:t>
      </w:r>
      <w:r w:rsidR="00F0480F" w:rsidRPr="004F35E6">
        <w:rPr>
          <w:rFonts w:ascii="Arial" w:hAnsi="Arial" w:cs="Arial"/>
          <w:lang w:val="en-US"/>
        </w:rPr>
        <w:t xml:space="preserve">Article III of </w:t>
      </w:r>
      <w:r w:rsidR="00F51631" w:rsidRPr="004F35E6">
        <w:rPr>
          <w:rFonts w:ascii="Arial" w:hAnsi="Arial" w:cs="Arial"/>
          <w:lang w:val="en-US"/>
        </w:rPr>
        <w:t xml:space="preserve">the </w:t>
      </w:r>
      <w:r w:rsidR="00F60684" w:rsidRPr="004F35E6">
        <w:rPr>
          <w:rFonts w:ascii="Arial" w:hAnsi="Arial" w:cs="Arial"/>
          <w:lang w:val="en-US"/>
        </w:rPr>
        <w:t xml:space="preserve">GATT 1994 </w:t>
      </w:r>
      <w:r w:rsidR="000D03B6" w:rsidRPr="004F35E6">
        <w:rPr>
          <w:rFonts w:ascii="Arial" w:hAnsi="Arial" w:cs="Arial"/>
          <w:lang w:val="en-US"/>
        </w:rPr>
        <w:t xml:space="preserve">(national treatment) </w:t>
      </w:r>
      <w:r w:rsidR="00F60684" w:rsidRPr="004F35E6">
        <w:rPr>
          <w:rFonts w:ascii="Arial" w:hAnsi="Arial" w:cs="Arial"/>
          <w:lang w:val="en-US"/>
        </w:rPr>
        <w:t xml:space="preserve">and </w:t>
      </w:r>
      <w:r w:rsidR="00DD4834" w:rsidRPr="004F35E6">
        <w:rPr>
          <w:rFonts w:ascii="Arial" w:hAnsi="Arial" w:cs="Arial"/>
          <w:lang w:val="en-US"/>
        </w:rPr>
        <w:t>TRIMs</w:t>
      </w:r>
      <w:r w:rsidR="00743351" w:rsidRPr="004F35E6">
        <w:rPr>
          <w:rFonts w:ascii="Arial" w:hAnsi="Arial" w:cs="Arial"/>
          <w:lang w:val="en-US"/>
        </w:rPr>
        <w:t xml:space="preserve"> Article 2.1</w:t>
      </w:r>
      <w:r w:rsidR="00DD4834" w:rsidRPr="004F35E6">
        <w:rPr>
          <w:rFonts w:ascii="Arial" w:hAnsi="Arial" w:cs="Arial"/>
          <w:lang w:val="en-US"/>
        </w:rPr>
        <w:t xml:space="preserve"> </w:t>
      </w:r>
      <w:r w:rsidR="0020091D" w:rsidRPr="004F35E6">
        <w:rPr>
          <w:rFonts w:ascii="Arial" w:hAnsi="Arial" w:cs="Arial"/>
          <w:lang w:val="en-US"/>
        </w:rPr>
        <w:t xml:space="preserve">and 2.2 </w:t>
      </w:r>
      <w:r w:rsidR="00DD4834" w:rsidRPr="004F35E6">
        <w:rPr>
          <w:rFonts w:ascii="Arial" w:hAnsi="Arial" w:cs="Arial"/>
          <w:lang w:val="en-US"/>
        </w:rPr>
        <w:t>provisions.</w:t>
      </w:r>
    </w:p>
    <w:p w14:paraId="0CED8203" w14:textId="77777777" w:rsidR="004D7DDE" w:rsidRPr="004F35E6" w:rsidRDefault="004D7DDE" w:rsidP="004F35E6">
      <w:pPr>
        <w:spacing w:line="240" w:lineRule="auto"/>
        <w:jc w:val="both"/>
        <w:rPr>
          <w:rFonts w:ascii="Arial" w:hAnsi="Arial" w:cs="Arial"/>
          <w:b/>
          <w:lang w:val="en-US"/>
        </w:rPr>
      </w:pPr>
    </w:p>
    <w:p w14:paraId="0EA16045" w14:textId="77777777" w:rsidR="00431BD8" w:rsidRPr="00D815B6" w:rsidRDefault="00431BD8" w:rsidP="004F35E6">
      <w:pPr>
        <w:spacing w:line="240" w:lineRule="auto"/>
        <w:jc w:val="both"/>
        <w:rPr>
          <w:rFonts w:ascii="Arial" w:hAnsi="Arial" w:cs="Arial"/>
          <w:sz w:val="24"/>
          <w:szCs w:val="24"/>
          <w:lang w:val="en-US"/>
        </w:rPr>
      </w:pPr>
      <w:r w:rsidRPr="00D815B6">
        <w:rPr>
          <w:rFonts w:ascii="Arial" w:hAnsi="Arial" w:cs="Arial"/>
          <w:b/>
          <w:sz w:val="24"/>
          <w:szCs w:val="24"/>
          <w:lang w:val="en-US"/>
        </w:rPr>
        <w:t>3</w:t>
      </w:r>
      <w:r w:rsidR="00D815B6">
        <w:rPr>
          <w:rFonts w:ascii="Arial" w:hAnsi="Arial" w:cs="Arial"/>
          <w:b/>
          <w:sz w:val="24"/>
          <w:szCs w:val="24"/>
          <w:lang w:val="en-US"/>
        </w:rPr>
        <w:tab/>
      </w:r>
      <w:r w:rsidR="003B3199" w:rsidRPr="00D815B6">
        <w:rPr>
          <w:rFonts w:ascii="Arial" w:hAnsi="Arial" w:cs="Arial"/>
          <w:b/>
          <w:sz w:val="24"/>
          <w:szCs w:val="24"/>
          <w:lang w:val="en-US"/>
        </w:rPr>
        <w:t xml:space="preserve">The advantages and disadvantages of </w:t>
      </w:r>
      <w:r w:rsidR="00FF6ACE" w:rsidRPr="00D815B6">
        <w:rPr>
          <w:rFonts w:ascii="Arial" w:hAnsi="Arial" w:cs="Arial"/>
          <w:b/>
          <w:sz w:val="24"/>
          <w:szCs w:val="24"/>
          <w:lang w:val="en-US"/>
        </w:rPr>
        <w:t>LCRs</w:t>
      </w:r>
    </w:p>
    <w:p w14:paraId="5FF6ECDD" w14:textId="77777777" w:rsidR="00FF6ACE" w:rsidRPr="004F35E6" w:rsidRDefault="00FF6ACE" w:rsidP="004F35E6">
      <w:pPr>
        <w:spacing w:line="240" w:lineRule="auto"/>
        <w:jc w:val="both"/>
        <w:rPr>
          <w:rFonts w:ascii="Arial" w:hAnsi="Arial" w:cs="Arial"/>
          <w:lang w:val="en-US" w:eastAsia="fr-FR"/>
        </w:rPr>
      </w:pPr>
      <w:r w:rsidRPr="004F35E6">
        <w:rPr>
          <w:rFonts w:ascii="Arial" w:hAnsi="Arial" w:cs="Arial"/>
          <w:lang w:val="en-US" w:eastAsia="fr-FR"/>
        </w:rPr>
        <w:tab/>
        <w:t xml:space="preserve">For a </w:t>
      </w:r>
      <w:r w:rsidR="00D815B6">
        <w:rPr>
          <w:rFonts w:ascii="Arial" w:hAnsi="Arial" w:cs="Arial"/>
          <w:lang w:val="en-US" w:eastAsia="fr-FR"/>
        </w:rPr>
        <w:t>limited</w:t>
      </w:r>
      <w:r w:rsidRPr="004F35E6">
        <w:rPr>
          <w:rFonts w:ascii="Arial" w:hAnsi="Arial" w:cs="Arial"/>
          <w:lang w:val="en-US" w:eastAsia="fr-FR"/>
        </w:rPr>
        <w:t xml:space="preserve"> period, LCRs may be, depending on certain circumstances, an efficient tool to the constru</w:t>
      </w:r>
      <w:r w:rsidR="00FB7AC0" w:rsidRPr="004F35E6">
        <w:rPr>
          <w:rFonts w:ascii="Arial" w:hAnsi="Arial" w:cs="Arial"/>
          <w:lang w:val="en-US" w:eastAsia="fr-FR"/>
        </w:rPr>
        <w:t>ction, protection and support</w:t>
      </w:r>
      <w:r w:rsidRPr="004F35E6">
        <w:rPr>
          <w:rFonts w:ascii="Arial" w:hAnsi="Arial" w:cs="Arial"/>
          <w:lang w:val="en-US" w:eastAsia="fr-FR"/>
        </w:rPr>
        <w:t xml:space="preserve"> of domestic industries. Nonetheless, they generate distortions to competition, which, in the long run, make the protected domestic industry not competitive with huge social costs. </w:t>
      </w:r>
    </w:p>
    <w:p w14:paraId="1EE9C429" w14:textId="77777777" w:rsidR="000F111C" w:rsidRPr="004F35E6" w:rsidRDefault="00323132" w:rsidP="004F35E6">
      <w:pPr>
        <w:spacing w:line="240" w:lineRule="auto"/>
        <w:jc w:val="both"/>
        <w:rPr>
          <w:rFonts w:ascii="Arial" w:hAnsi="Arial" w:cs="Arial"/>
          <w:lang w:val="en-US"/>
        </w:rPr>
      </w:pPr>
      <w:r w:rsidRPr="004F35E6">
        <w:rPr>
          <w:rFonts w:ascii="Arial" w:hAnsi="Arial" w:cs="Arial"/>
          <w:lang w:val="en-US" w:eastAsia="fr-FR"/>
        </w:rPr>
        <w:tab/>
      </w:r>
      <w:r w:rsidR="003C3330" w:rsidRPr="004F35E6">
        <w:rPr>
          <w:rFonts w:ascii="Arial" w:hAnsi="Arial" w:cs="Arial"/>
          <w:lang w:val="en-US" w:eastAsia="fr-FR"/>
        </w:rPr>
        <w:t>Acc</w:t>
      </w:r>
      <w:r w:rsidR="00D667E4" w:rsidRPr="004F35E6">
        <w:rPr>
          <w:rFonts w:ascii="Arial" w:hAnsi="Arial" w:cs="Arial"/>
          <w:lang w:val="en-US" w:eastAsia="fr-FR"/>
        </w:rPr>
        <w:t xml:space="preserve">ording to </w:t>
      </w:r>
      <w:proofErr w:type="spellStart"/>
      <w:r w:rsidR="00556F60" w:rsidRPr="004F35E6">
        <w:rPr>
          <w:rFonts w:ascii="Arial" w:hAnsi="Arial" w:cs="Arial"/>
          <w:lang w:val="en-US" w:eastAsia="fr-FR"/>
        </w:rPr>
        <w:t>Muchlinsky</w:t>
      </w:r>
      <w:proofErr w:type="spellEnd"/>
      <w:r w:rsidR="00993E0E">
        <w:rPr>
          <w:rFonts w:ascii="Arial" w:hAnsi="Arial" w:cs="Arial"/>
          <w:lang w:val="en-US" w:eastAsia="fr-FR"/>
        </w:rPr>
        <w:t xml:space="preserve"> (2008)</w:t>
      </w:r>
      <w:r w:rsidR="00D667E4" w:rsidRPr="004F35E6">
        <w:rPr>
          <w:rFonts w:ascii="Arial" w:hAnsi="Arial" w:cs="Arial"/>
          <w:lang w:val="en-US" w:eastAsia="fr-FR"/>
        </w:rPr>
        <w:t>,</w:t>
      </w:r>
      <w:r w:rsidRPr="004F35E6">
        <w:rPr>
          <w:rFonts w:ascii="Arial" w:hAnsi="Arial" w:cs="Arial"/>
          <w:lang w:val="en-US" w:eastAsia="fr-FR"/>
        </w:rPr>
        <w:t xml:space="preserve"> LCRs</w:t>
      </w:r>
      <w:r w:rsidRPr="004F35E6">
        <w:rPr>
          <w:rFonts w:ascii="Arial" w:hAnsi="Arial" w:cs="Arial"/>
          <w:lang w:val="en-US"/>
        </w:rPr>
        <w:t xml:space="preserve"> “are usually justified on the basis of the host country´s need to minimize the possible disadvantages, and maximize the potential benefits, of the investment in line with its economic and developmental policies</w:t>
      </w:r>
      <w:r w:rsidR="00C412A7" w:rsidRPr="004F35E6">
        <w:rPr>
          <w:rFonts w:ascii="Arial" w:hAnsi="Arial" w:cs="Arial"/>
          <w:lang w:val="en-US"/>
        </w:rPr>
        <w:t>”.</w:t>
      </w:r>
      <w:r w:rsidRPr="004F35E6">
        <w:rPr>
          <w:rFonts w:ascii="Arial" w:hAnsi="Arial" w:cs="Arial"/>
          <w:lang w:val="en-US"/>
        </w:rPr>
        <w:t xml:space="preserve"> However, “they are often criticized as an unwarranted interference, through governmental action, in the process of economic decision-making on the part of investors and that they will result in a distortion of that process with detrimental results to productive efficiency</w:t>
      </w:r>
      <w:r w:rsidR="00556F60" w:rsidRPr="004F35E6">
        <w:rPr>
          <w:rFonts w:ascii="Arial" w:hAnsi="Arial" w:cs="Arial"/>
          <w:lang w:val="en-US"/>
        </w:rPr>
        <w:t>.”</w:t>
      </w:r>
      <w:r w:rsidR="00556F60" w:rsidRPr="004F35E6">
        <w:rPr>
          <w:rStyle w:val="Refdenotaderodap"/>
          <w:rFonts w:ascii="Arial" w:hAnsi="Arial" w:cs="Arial"/>
          <w:lang w:val="en-US"/>
        </w:rPr>
        <w:footnoteReference w:id="5"/>
      </w:r>
    </w:p>
    <w:p w14:paraId="091725A0" w14:textId="77777777" w:rsidR="00F12BB8" w:rsidRPr="004F35E6" w:rsidRDefault="00FC6751" w:rsidP="004F35E6">
      <w:pPr>
        <w:spacing w:line="240" w:lineRule="auto"/>
        <w:jc w:val="both"/>
        <w:rPr>
          <w:rFonts w:ascii="Arial" w:hAnsi="Arial" w:cs="Arial"/>
          <w:lang w:val="en-US"/>
        </w:rPr>
      </w:pPr>
      <w:r w:rsidRPr="004F35E6">
        <w:rPr>
          <w:rFonts w:ascii="Arial" w:hAnsi="Arial" w:cs="Arial"/>
          <w:lang w:val="en-US"/>
        </w:rPr>
        <w:tab/>
        <w:t>C</w:t>
      </w:r>
      <w:r w:rsidR="00FB7AC0" w:rsidRPr="004F35E6">
        <w:rPr>
          <w:rFonts w:ascii="Arial" w:hAnsi="Arial" w:cs="Arial"/>
          <w:lang w:val="en-US"/>
        </w:rPr>
        <w:t xml:space="preserve">imino, </w:t>
      </w:r>
      <w:proofErr w:type="spellStart"/>
      <w:r w:rsidR="00FB7AC0" w:rsidRPr="004F35E6">
        <w:rPr>
          <w:rFonts w:ascii="Arial" w:hAnsi="Arial" w:cs="Arial"/>
          <w:lang w:val="en-US"/>
        </w:rPr>
        <w:t>Hufbauer</w:t>
      </w:r>
      <w:proofErr w:type="spellEnd"/>
      <w:r w:rsidR="00FB7AC0" w:rsidRPr="004F35E6">
        <w:rPr>
          <w:rFonts w:ascii="Arial" w:hAnsi="Arial" w:cs="Arial"/>
          <w:lang w:val="en-US"/>
        </w:rPr>
        <w:t xml:space="preserve"> and </w:t>
      </w:r>
      <w:proofErr w:type="spellStart"/>
      <w:r w:rsidR="00FB7AC0" w:rsidRPr="004F35E6">
        <w:rPr>
          <w:rFonts w:ascii="Arial" w:hAnsi="Arial" w:cs="Arial"/>
          <w:lang w:val="en-US"/>
        </w:rPr>
        <w:t>Schoot</w:t>
      </w:r>
      <w:proofErr w:type="spellEnd"/>
      <w:r w:rsidR="00993E0E">
        <w:rPr>
          <w:rFonts w:ascii="Arial" w:hAnsi="Arial" w:cs="Arial"/>
          <w:lang w:val="en-US"/>
        </w:rPr>
        <w:t xml:space="preserve"> (2014) </w:t>
      </w:r>
      <w:r w:rsidR="00FB7AC0" w:rsidRPr="004F35E6">
        <w:rPr>
          <w:rFonts w:ascii="Arial" w:hAnsi="Arial" w:cs="Arial"/>
          <w:lang w:val="en-US"/>
        </w:rPr>
        <w:t>stress that,</w:t>
      </w:r>
      <w:r w:rsidRPr="004F35E6">
        <w:rPr>
          <w:rFonts w:ascii="Arial" w:hAnsi="Arial" w:cs="Arial"/>
          <w:lang w:val="en-US"/>
        </w:rPr>
        <w:t xml:space="preserve"> h</w:t>
      </w:r>
      <w:r w:rsidR="00005A41" w:rsidRPr="004F35E6">
        <w:rPr>
          <w:rFonts w:ascii="Arial" w:hAnsi="Arial" w:cs="Arial"/>
          <w:lang w:val="en-US"/>
        </w:rPr>
        <w:t xml:space="preserve">istorically, </w:t>
      </w:r>
      <w:r w:rsidR="00993E0E">
        <w:rPr>
          <w:rFonts w:ascii="Arial" w:hAnsi="Arial" w:cs="Arial"/>
          <w:lang w:val="en-US"/>
        </w:rPr>
        <w:t>“</w:t>
      </w:r>
      <w:r w:rsidR="00005A41" w:rsidRPr="004F35E6">
        <w:rPr>
          <w:rFonts w:ascii="Arial" w:hAnsi="Arial" w:cs="Arial"/>
          <w:lang w:val="en-US"/>
        </w:rPr>
        <w:t>LCRs have been associated with government procurement and mandates attached to publicly financed projects. But, LCRs can take many forms, including price preferences awarded to domestic firms that bid on government procurement contracts, mandatory minimum percentages required for the domestic goods and services used in production, import licensing procedures designed to discourage foreign suppliers, and discretionary guidelines that both encourage domestic firms and discourage foreign firms.”</w:t>
      </w:r>
      <w:r w:rsidRPr="004F35E6">
        <w:rPr>
          <w:rStyle w:val="Refdenotaderodap"/>
          <w:rFonts w:ascii="Arial" w:hAnsi="Arial" w:cs="Arial"/>
          <w:lang w:val="en-US"/>
        </w:rPr>
        <w:footnoteReference w:id="6"/>
      </w:r>
    </w:p>
    <w:p w14:paraId="580B1E99" w14:textId="77777777" w:rsidR="002E6F69" w:rsidRPr="004F35E6" w:rsidRDefault="002E6F69" w:rsidP="004F35E6">
      <w:pPr>
        <w:spacing w:after="0" w:line="240" w:lineRule="auto"/>
        <w:jc w:val="both"/>
        <w:rPr>
          <w:rFonts w:ascii="Arial" w:hAnsi="Arial" w:cs="Arial"/>
          <w:lang w:val="en-US"/>
        </w:rPr>
      </w:pPr>
      <w:r w:rsidRPr="004F35E6">
        <w:rPr>
          <w:rFonts w:ascii="Arial" w:hAnsi="Arial" w:cs="Arial"/>
          <w:lang w:val="en-US"/>
        </w:rPr>
        <w:tab/>
        <w:t xml:space="preserve">Moreover, it is also worth mentioning that many countries, such as the United States, taking due regard </w:t>
      </w:r>
      <w:r w:rsidR="002F04FD" w:rsidRPr="004F35E6">
        <w:rPr>
          <w:rFonts w:ascii="Arial" w:hAnsi="Arial" w:cs="Arial"/>
          <w:lang w:val="en-US"/>
        </w:rPr>
        <w:t>of LCR</w:t>
      </w:r>
      <w:r w:rsidR="00B14465" w:rsidRPr="004F35E6">
        <w:rPr>
          <w:rFonts w:ascii="Arial" w:hAnsi="Arial" w:cs="Arial"/>
          <w:lang w:val="en-US"/>
        </w:rPr>
        <w:t>s</w:t>
      </w:r>
      <w:r w:rsidR="002F04FD" w:rsidRPr="004F35E6">
        <w:rPr>
          <w:rFonts w:ascii="Arial" w:hAnsi="Arial" w:cs="Arial"/>
          <w:lang w:val="en-US"/>
        </w:rPr>
        <w:t xml:space="preserve"> scope and coverage, classify them as “localization barriers to trade”.</w:t>
      </w:r>
    </w:p>
    <w:p w14:paraId="3DA1CB9E" w14:textId="77777777" w:rsidR="00A27CC3" w:rsidRPr="004F35E6" w:rsidRDefault="002F04FD" w:rsidP="004F35E6">
      <w:pPr>
        <w:spacing w:after="0" w:line="240" w:lineRule="auto"/>
        <w:jc w:val="both"/>
        <w:rPr>
          <w:rFonts w:ascii="Arial" w:hAnsi="Arial" w:cs="Arial"/>
          <w:lang w:val="en-US" w:eastAsia="fr-FR"/>
        </w:rPr>
      </w:pPr>
      <w:r w:rsidRPr="004F35E6">
        <w:rPr>
          <w:rFonts w:ascii="Arial" w:hAnsi="Arial" w:cs="Arial"/>
          <w:lang w:val="en-US" w:eastAsia="fr-FR"/>
        </w:rPr>
        <w:tab/>
      </w:r>
    </w:p>
    <w:p w14:paraId="030D45CB" w14:textId="77777777" w:rsidR="00404CA8" w:rsidRPr="004F35E6" w:rsidRDefault="00A27CC3" w:rsidP="004F35E6">
      <w:pPr>
        <w:spacing w:after="0" w:line="240" w:lineRule="auto"/>
        <w:jc w:val="both"/>
        <w:rPr>
          <w:rFonts w:ascii="Arial" w:hAnsi="Arial" w:cs="Arial"/>
          <w:lang w:val="en-US"/>
        </w:rPr>
      </w:pPr>
      <w:r w:rsidRPr="004F35E6">
        <w:rPr>
          <w:rFonts w:ascii="Arial" w:hAnsi="Arial" w:cs="Arial"/>
          <w:lang w:val="en-US" w:eastAsia="fr-FR"/>
        </w:rPr>
        <w:tab/>
      </w:r>
      <w:r w:rsidR="00FF6ACE" w:rsidRPr="004F35E6">
        <w:rPr>
          <w:rFonts w:ascii="Arial" w:hAnsi="Arial" w:cs="Arial"/>
          <w:lang w:val="en-US" w:eastAsia="fr-FR"/>
        </w:rPr>
        <w:t xml:space="preserve">LCRs have been extensively adopted </w:t>
      </w:r>
      <w:r w:rsidR="00586D86" w:rsidRPr="004F35E6">
        <w:rPr>
          <w:rFonts w:ascii="Arial" w:hAnsi="Arial" w:cs="Arial"/>
          <w:lang w:val="en-US" w:eastAsia="fr-FR"/>
        </w:rPr>
        <w:t>by both</w:t>
      </w:r>
      <w:r w:rsidR="00FF6ACE" w:rsidRPr="004F35E6">
        <w:rPr>
          <w:rFonts w:ascii="Arial" w:hAnsi="Arial" w:cs="Arial"/>
          <w:lang w:val="en-US" w:eastAsia="fr-FR"/>
        </w:rPr>
        <w:t xml:space="preserve"> developed and developing countries</w:t>
      </w:r>
      <w:r w:rsidR="002F04FD" w:rsidRPr="004F35E6">
        <w:rPr>
          <w:rFonts w:ascii="Arial" w:hAnsi="Arial" w:cs="Arial"/>
          <w:lang w:val="en-US" w:eastAsia="fr-FR"/>
        </w:rPr>
        <w:t xml:space="preserve"> and subject to negotiations for decades. After the 2008 global financial and economic crisis, the use of LCR</w:t>
      </w:r>
      <w:r w:rsidR="00B14465" w:rsidRPr="004F35E6">
        <w:rPr>
          <w:rFonts w:ascii="Arial" w:hAnsi="Arial" w:cs="Arial"/>
          <w:lang w:val="en-US" w:eastAsia="fr-FR"/>
        </w:rPr>
        <w:t>s</w:t>
      </w:r>
      <w:r w:rsidR="002F04FD" w:rsidRPr="004F35E6">
        <w:rPr>
          <w:rFonts w:ascii="Arial" w:hAnsi="Arial" w:cs="Arial"/>
          <w:lang w:val="en-US" w:eastAsia="fr-FR"/>
        </w:rPr>
        <w:t xml:space="preserve"> picked up</w:t>
      </w:r>
      <w:r w:rsidR="002F04FD" w:rsidRPr="004F35E6">
        <w:rPr>
          <w:rFonts w:ascii="Arial" w:hAnsi="Arial" w:cs="Arial"/>
          <w:lang w:val="en-US"/>
        </w:rPr>
        <w:t xml:space="preserve">. A number of countries decided to use them as a strategy for protection of their domestic economy against the unexpected consequences stemming from the crisis. </w:t>
      </w:r>
    </w:p>
    <w:p w14:paraId="2F3B249C" w14:textId="77777777" w:rsidR="00404CA8" w:rsidRPr="004F35E6" w:rsidRDefault="00404CA8" w:rsidP="004F35E6">
      <w:pPr>
        <w:spacing w:after="0" w:line="240" w:lineRule="auto"/>
        <w:jc w:val="both"/>
        <w:rPr>
          <w:rFonts w:ascii="Arial" w:hAnsi="Arial" w:cs="Arial"/>
          <w:lang w:val="en-US"/>
        </w:rPr>
      </w:pPr>
    </w:p>
    <w:p w14:paraId="0AF8406E" w14:textId="77777777" w:rsidR="00D736FC" w:rsidRPr="004F35E6" w:rsidRDefault="00D736FC" w:rsidP="004F35E6">
      <w:pPr>
        <w:spacing w:after="0" w:line="240" w:lineRule="auto"/>
        <w:jc w:val="both"/>
        <w:rPr>
          <w:rFonts w:ascii="Arial" w:hAnsi="Arial" w:cs="Arial"/>
          <w:lang w:val="en-US"/>
        </w:rPr>
      </w:pPr>
      <w:r w:rsidRPr="004F35E6">
        <w:rPr>
          <w:rFonts w:ascii="Arial" w:hAnsi="Arial" w:cs="Arial"/>
          <w:lang w:val="en-US"/>
        </w:rPr>
        <w:tab/>
      </w:r>
      <w:r w:rsidR="0025107E">
        <w:rPr>
          <w:rFonts w:ascii="Arial" w:hAnsi="Arial" w:cs="Arial"/>
          <w:lang w:val="en-US"/>
        </w:rPr>
        <w:t>M</w:t>
      </w:r>
      <w:r w:rsidRPr="004F35E6">
        <w:rPr>
          <w:rFonts w:ascii="Arial" w:hAnsi="Arial" w:cs="Arial"/>
          <w:lang w:val="en-US"/>
        </w:rPr>
        <w:t>ore th</w:t>
      </w:r>
      <w:r w:rsidR="0025107E">
        <w:rPr>
          <w:rFonts w:ascii="Arial" w:hAnsi="Arial" w:cs="Arial"/>
          <w:lang w:val="en-US"/>
        </w:rPr>
        <w:t>an</w:t>
      </w:r>
      <w:r w:rsidRPr="004F35E6">
        <w:rPr>
          <w:rFonts w:ascii="Arial" w:hAnsi="Arial" w:cs="Arial"/>
          <w:lang w:val="en-US"/>
        </w:rPr>
        <w:t xml:space="preserve"> one hundred LCR</w:t>
      </w:r>
      <w:r w:rsidR="004464EA" w:rsidRPr="004F35E6">
        <w:rPr>
          <w:rFonts w:ascii="Arial" w:hAnsi="Arial" w:cs="Arial"/>
          <w:lang w:val="en-US"/>
        </w:rPr>
        <w:t>s</w:t>
      </w:r>
      <w:r w:rsidRPr="004F35E6">
        <w:rPr>
          <w:rFonts w:ascii="Arial" w:hAnsi="Arial" w:cs="Arial"/>
          <w:lang w:val="en-US"/>
        </w:rPr>
        <w:t xml:space="preserve"> measures were introduced or implemented since 2008 in different types of economies, as well as in a wide range of industrial sectors. Many of them produce effects well beyond trade flows impacting directly or indirectly on investments, services and employment.</w:t>
      </w:r>
      <w:r w:rsidRPr="004F35E6">
        <w:rPr>
          <w:rStyle w:val="Refdenotaderodap"/>
          <w:rFonts w:ascii="Arial" w:hAnsi="Arial" w:cs="Arial"/>
        </w:rPr>
        <w:footnoteReference w:id="7"/>
      </w:r>
      <w:r w:rsidR="00404CA8" w:rsidRPr="004F35E6">
        <w:rPr>
          <w:rFonts w:ascii="Arial" w:hAnsi="Arial" w:cs="Arial"/>
          <w:lang w:val="en-US"/>
        </w:rPr>
        <w:tab/>
      </w:r>
    </w:p>
    <w:p w14:paraId="70CC7893" w14:textId="77777777" w:rsidR="00404CA8" w:rsidRPr="004F35E6" w:rsidRDefault="006934DC" w:rsidP="004F35E6">
      <w:pPr>
        <w:spacing w:after="0" w:line="240" w:lineRule="auto"/>
        <w:jc w:val="both"/>
        <w:rPr>
          <w:rFonts w:ascii="Arial" w:hAnsi="Arial" w:cs="Arial"/>
          <w:lang w:val="en-US"/>
        </w:rPr>
      </w:pPr>
      <w:r w:rsidRPr="004F35E6">
        <w:rPr>
          <w:rFonts w:ascii="Arial" w:hAnsi="Arial" w:cs="Arial"/>
          <w:lang w:val="en-US"/>
        </w:rPr>
        <w:tab/>
      </w:r>
    </w:p>
    <w:p w14:paraId="6F3A9D94" w14:textId="77777777" w:rsidR="00431BD8" w:rsidRPr="00FA3C6F" w:rsidRDefault="00431BD8" w:rsidP="004F35E6">
      <w:pPr>
        <w:spacing w:line="240" w:lineRule="auto"/>
        <w:jc w:val="both"/>
        <w:rPr>
          <w:rFonts w:ascii="Arial" w:hAnsi="Arial" w:cs="Arial"/>
          <w:sz w:val="24"/>
          <w:szCs w:val="24"/>
          <w:lang w:val="en-US"/>
        </w:rPr>
      </w:pPr>
      <w:r w:rsidRPr="00FA3C6F">
        <w:rPr>
          <w:rFonts w:ascii="Arial" w:hAnsi="Arial" w:cs="Arial"/>
          <w:b/>
          <w:sz w:val="24"/>
          <w:szCs w:val="24"/>
          <w:lang w:val="en-US"/>
        </w:rPr>
        <w:t>4</w:t>
      </w:r>
      <w:r w:rsidR="00FA3C6F" w:rsidRPr="00FA3C6F">
        <w:rPr>
          <w:rFonts w:ascii="Arial" w:hAnsi="Arial" w:cs="Arial"/>
          <w:b/>
          <w:sz w:val="24"/>
          <w:szCs w:val="24"/>
          <w:lang w:val="en-US"/>
        </w:rPr>
        <w:tab/>
      </w:r>
      <w:r w:rsidR="00523301" w:rsidRPr="00FA3C6F">
        <w:rPr>
          <w:rFonts w:ascii="Arial" w:hAnsi="Arial" w:cs="Arial"/>
          <w:b/>
          <w:sz w:val="24"/>
          <w:szCs w:val="24"/>
          <w:lang w:val="en-US"/>
        </w:rPr>
        <w:t>Article III</w:t>
      </w:r>
      <w:r w:rsidR="00340A49" w:rsidRPr="00FA3C6F">
        <w:rPr>
          <w:rFonts w:ascii="Arial" w:hAnsi="Arial" w:cs="Arial"/>
          <w:b/>
          <w:sz w:val="24"/>
          <w:szCs w:val="24"/>
          <w:lang w:val="en-US"/>
        </w:rPr>
        <w:t xml:space="preserve"> </w:t>
      </w:r>
      <w:r w:rsidR="00523301" w:rsidRPr="00FA3C6F">
        <w:rPr>
          <w:rFonts w:ascii="Arial" w:hAnsi="Arial" w:cs="Arial"/>
          <w:b/>
          <w:sz w:val="24"/>
          <w:szCs w:val="24"/>
          <w:lang w:val="en-US"/>
        </w:rPr>
        <w:t xml:space="preserve">of </w:t>
      </w:r>
      <w:r w:rsidR="00F51631" w:rsidRPr="00FA3C6F">
        <w:rPr>
          <w:rFonts w:ascii="Arial" w:hAnsi="Arial" w:cs="Arial"/>
          <w:b/>
          <w:sz w:val="24"/>
          <w:szCs w:val="24"/>
          <w:lang w:val="en-US"/>
        </w:rPr>
        <w:t xml:space="preserve">the </w:t>
      </w:r>
      <w:r w:rsidRPr="00FA3C6F">
        <w:rPr>
          <w:rFonts w:ascii="Arial" w:hAnsi="Arial" w:cs="Arial"/>
          <w:b/>
          <w:sz w:val="24"/>
          <w:szCs w:val="24"/>
          <w:lang w:val="en-US"/>
        </w:rPr>
        <w:t>GATT</w:t>
      </w:r>
      <w:r w:rsidR="00523301" w:rsidRPr="00FA3C6F">
        <w:rPr>
          <w:rFonts w:ascii="Arial" w:hAnsi="Arial" w:cs="Arial"/>
          <w:b/>
          <w:sz w:val="24"/>
          <w:szCs w:val="24"/>
          <w:lang w:val="en-US"/>
        </w:rPr>
        <w:t xml:space="preserve"> 1994 </w:t>
      </w:r>
      <w:r w:rsidR="00025380" w:rsidRPr="00FA3C6F">
        <w:rPr>
          <w:rFonts w:ascii="Arial" w:hAnsi="Arial" w:cs="Arial"/>
          <w:b/>
          <w:sz w:val="24"/>
          <w:szCs w:val="24"/>
          <w:lang w:val="en-US"/>
        </w:rPr>
        <w:t>and the TRIMs</w:t>
      </w:r>
    </w:p>
    <w:p w14:paraId="36BC3279" w14:textId="77777777" w:rsidR="00B14465" w:rsidRPr="004F35E6" w:rsidRDefault="00B14465" w:rsidP="004F35E6">
      <w:pPr>
        <w:spacing w:line="240" w:lineRule="auto"/>
        <w:jc w:val="both"/>
        <w:rPr>
          <w:rFonts w:ascii="Arial" w:hAnsi="Arial" w:cs="Arial"/>
          <w:lang w:val="en-US"/>
        </w:rPr>
      </w:pPr>
      <w:r w:rsidRPr="004F35E6">
        <w:rPr>
          <w:rFonts w:ascii="Arial" w:hAnsi="Arial" w:cs="Arial"/>
          <w:lang w:val="en-US"/>
        </w:rPr>
        <w:tab/>
        <w:t xml:space="preserve">As noted by </w:t>
      </w:r>
      <w:proofErr w:type="spellStart"/>
      <w:r w:rsidRPr="004F35E6">
        <w:rPr>
          <w:rFonts w:ascii="Arial" w:hAnsi="Arial" w:cs="Arial"/>
          <w:lang w:val="en-US"/>
        </w:rPr>
        <w:t>Mavroidis</w:t>
      </w:r>
      <w:proofErr w:type="spellEnd"/>
      <w:r w:rsidR="00FA3C6F">
        <w:rPr>
          <w:rFonts w:ascii="Arial" w:hAnsi="Arial" w:cs="Arial"/>
          <w:lang w:val="en-US"/>
        </w:rPr>
        <w:t xml:space="preserve"> (2013)</w:t>
      </w:r>
      <w:r w:rsidRPr="004F35E6">
        <w:rPr>
          <w:rFonts w:ascii="Arial" w:hAnsi="Arial" w:cs="Arial"/>
          <w:lang w:val="en-US"/>
        </w:rPr>
        <w:t xml:space="preserve">, the TRIMs agreement constitutes </w:t>
      </w:r>
      <w:proofErr w:type="spellStart"/>
      <w:r w:rsidRPr="004F35E6">
        <w:rPr>
          <w:rFonts w:ascii="Arial" w:hAnsi="Arial" w:cs="Arial"/>
          <w:i/>
          <w:lang w:val="en-US"/>
        </w:rPr>
        <w:t>lex</w:t>
      </w:r>
      <w:proofErr w:type="spellEnd"/>
      <w:r w:rsidR="00717466" w:rsidRPr="004F35E6">
        <w:rPr>
          <w:rFonts w:ascii="Arial" w:hAnsi="Arial" w:cs="Arial"/>
          <w:i/>
          <w:lang w:val="en-US"/>
        </w:rPr>
        <w:t xml:space="preserve"> </w:t>
      </w:r>
      <w:proofErr w:type="spellStart"/>
      <w:r w:rsidRPr="004F35E6">
        <w:rPr>
          <w:rFonts w:ascii="Arial" w:hAnsi="Arial" w:cs="Arial"/>
          <w:i/>
          <w:lang w:val="en-US"/>
        </w:rPr>
        <w:t>specialis</w:t>
      </w:r>
      <w:proofErr w:type="spellEnd"/>
      <w:r w:rsidR="00523301" w:rsidRPr="004F35E6">
        <w:rPr>
          <w:rFonts w:ascii="Arial" w:hAnsi="Arial" w:cs="Arial"/>
          <w:lang w:val="en-US"/>
        </w:rPr>
        <w:t xml:space="preserve"> of</w:t>
      </w:r>
      <w:r w:rsidRPr="004F35E6">
        <w:rPr>
          <w:rFonts w:ascii="Arial" w:hAnsi="Arial" w:cs="Arial"/>
          <w:lang w:val="en-US"/>
        </w:rPr>
        <w:t xml:space="preserve"> Articles III (national treatment) and XI (quantitative restrictions)</w:t>
      </w:r>
      <w:r w:rsidR="00523301" w:rsidRPr="004F35E6">
        <w:rPr>
          <w:rFonts w:ascii="Arial" w:hAnsi="Arial" w:cs="Arial"/>
          <w:lang w:val="en-US"/>
        </w:rPr>
        <w:t xml:space="preserve"> of </w:t>
      </w:r>
      <w:r w:rsidR="00F51631" w:rsidRPr="004F35E6">
        <w:rPr>
          <w:rFonts w:ascii="Arial" w:hAnsi="Arial" w:cs="Arial"/>
          <w:lang w:val="en-US"/>
        </w:rPr>
        <w:t xml:space="preserve">the </w:t>
      </w:r>
      <w:r w:rsidR="00523301" w:rsidRPr="004F35E6">
        <w:rPr>
          <w:rFonts w:ascii="Arial" w:hAnsi="Arial" w:cs="Arial"/>
          <w:lang w:val="en-US"/>
        </w:rPr>
        <w:t>GATT 1994</w:t>
      </w:r>
      <w:r w:rsidRPr="004F35E6">
        <w:rPr>
          <w:rFonts w:ascii="Arial" w:hAnsi="Arial" w:cs="Arial"/>
          <w:lang w:val="en-US"/>
        </w:rPr>
        <w:t xml:space="preserve">, as it specifically prohibits the use of two governmental action tools related to public policies </w:t>
      </w:r>
      <w:r w:rsidR="00FB7AC0" w:rsidRPr="004F35E6">
        <w:rPr>
          <w:rFonts w:ascii="Arial" w:hAnsi="Arial" w:cs="Arial"/>
          <w:lang w:val="en-US"/>
        </w:rPr>
        <w:t>covered</w:t>
      </w:r>
      <w:r w:rsidRPr="004F35E6">
        <w:rPr>
          <w:rFonts w:ascii="Arial" w:hAnsi="Arial" w:cs="Arial"/>
          <w:lang w:val="en-US"/>
        </w:rPr>
        <w:t xml:space="preserve"> by those Articles, to wit: LCR</w:t>
      </w:r>
      <w:r w:rsidR="00523301" w:rsidRPr="004F35E6">
        <w:rPr>
          <w:rFonts w:ascii="Arial" w:hAnsi="Arial" w:cs="Arial"/>
          <w:lang w:val="en-US"/>
        </w:rPr>
        <w:t>s</w:t>
      </w:r>
      <w:r w:rsidRPr="004F35E6">
        <w:rPr>
          <w:rFonts w:ascii="Arial" w:hAnsi="Arial" w:cs="Arial"/>
          <w:lang w:val="en-US"/>
        </w:rPr>
        <w:t xml:space="preserve"> and export requirements.</w:t>
      </w:r>
      <w:r w:rsidRPr="004F35E6">
        <w:rPr>
          <w:rStyle w:val="Refdenotaderodap"/>
          <w:rFonts w:ascii="Arial" w:hAnsi="Arial" w:cs="Arial"/>
        </w:rPr>
        <w:footnoteReference w:id="8"/>
      </w:r>
      <w:r w:rsidR="00375AC5" w:rsidRPr="004F35E6">
        <w:rPr>
          <w:rFonts w:ascii="Arial" w:hAnsi="Arial" w:cs="Arial"/>
          <w:lang w:val="en-US"/>
        </w:rPr>
        <w:t xml:space="preserve"> </w:t>
      </w:r>
    </w:p>
    <w:p w14:paraId="6CE92199" w14:textId="77777777" w:rsidR="00743351" w:rsidRPr="004F35E6" w:rsidRDefault="003C770D" w:rsidP="004F35E6">
      <w:pPr>
        <w:spacing w:after="0" w:line="240" w:lineRule="auto"/>
        <w:jc w:val="both"/>
        <w:rPr>
          <w:rFonts w:ascii="Arial" w:hAnsi="Arial" w:cs="Arial"/>
          <w:lang w:val="en-US"/>
        </w:rPr>
      </w:pPr>
      <w:r w:rsidRPr="004F35E6">
        <w:rPr>
          <w:rFonts w:ascii="Arial" w:hAnsi="Arial" w:cs="Arial"/>
          <w:lang w:val="en-US"/>
        </w:rPr>
        <w:tab/>
        <w:t xml:space="preserve">One of the basic principles of Article III of </w:t>
      </w:r>
      <w:r w:rsidR="00F51631" w:rsidRPr="004F35E6">
        <w:rPr>
          <w:rFonts w:ascii="Arial" w:hAnsi="Arial" w:cs="Arial"/>
          <w:lang w:val="en-US"/>
        </w:rPr>
        <w:t xml:space="preserve">the </w:t>
      </w:r>
      <w:r w:rsidRPr="004F35E6">
        <w:rPr>
          <w:rFonts w:ascii="Arial" w:hAnsi="Arial" w:cs="Arial"/>
          <w:lang w:val="en-US"/>
        </w:rPr>
        <w:t>GATT 1994 is the national treatment, under which</w:t>
      </w:r>
      <w:r w:rsidR="001368FE" w:rsidRPr="004F35E6">
        <w:rPr>
          <w:rFonts w:ascii="Arial" w:hAnsi="Arial" w:cs="Arial"/>
          <w:lang w:val="en-US"/>
        </w:rPr>
        <w:t xml:space="preserve"> imported products may not be discriminated in favor of domestic products. </w:t>
      </w:r>
      <w:r w:rsidR="00743351" w:rsidRPr="004F35E6">
        <w:rPr>
          <w:rFonts w:ascii="Arial" w:hAnsi="Arial" w:cs="Arial"/>
          <w:lang w:val="en-US"/>
        </w:rPr>
        <w:t xml:space="preserve">As outlined by Van den </w:t>
      </w:r>
      <w:proofErr w:type="spellStart"/>
      <w:r w:rsidR="00743351" w:rsidRPr="004F35E6">
        <w:rPr>
          <w:rFonts w:ascii="Arial" w:hAnsi="Arial" w:cs="Arial"/>
          <w:lang w:val="en-US"/>
        </w:rPr>
        <w:t>Bossche</w:t>
      </w:r>
      <w:proofErr w:type="spellEnd"/>
      <w:r w:rsidR="00743351" w:rsidRPr="004F35E6">
        <w:rPr>
          <w:rFonts w:ascii="Arial" w:hAnsi="Arial" w:cs="Arial"/>
          <w:lang w:val="en-US"/>
        </w:rPr>
        <w:t xml:space="preserve"> and </w:t>
      </w:r>
      <w:proofErr w:type="spellStart"/>
      <w:r w:rsidR="00743351" w:rsidRPr="004F35E6">
        <w:rPr>
          <w:rFonts w:ascii="Arial" w:hAnsi="Arial" w:cs="Arial"/>
          <w:lang w:val="en-US"/>
        </w:rPr>
        <w:t>Zdouc</w:t>
      </w:r>
      <w:proofErr w:type="spellEnd"/>
      <w:r w:rsidR="00A02405">
        <w:rPr>
          <w:rFonts w:ascii="Arial" w:hAnsi="Arial" w:cs="Arial"/>
          <w:lang w:val="en-US"/>
        </w:rPr>
        <w:t xml:space="preserve"> (2013)</w:t>
      </w:r>
      <w:r w:rsidR="00743351" w:rsidRPr="004F35E6">
        <w:rPr>
          <w:rFonts w:ascii="Arial" w:hAnsi="Arial" w:cs="Arial"/>
          <w:lang w:val="en-US"/>
        </w:rPr>
        <w:t>, “Article III of GATT 1994 prohibits discrimination</w:t>
      </w:r>
      <w:r w:rsidR="00743351" w:rsidRPr="004F35E6">
        <w:rPr>
          <w:rFonts w:ascii="Arial" w:hAnsi="Arial" w:cs="Arial"/>
          <w:b/>
          <w:lang w:val="en-US"/>
        </w:rPr>
        <w:t xml:space="preserve"> </w:t>
      </w:r>
      <w:r w:rsidR="00743351" w:rsidRPr="004F35E6">
        <w:rPr>
          <w:rFonts w:ascii="Arial" w:hAnsi="Arial" w:cs="Arial"/>
          <w:i/>
          <w:lang w:val="en-US"/>
        </w:rPr>
        <w:t>against</w:t>
      </w:r>
      <w:r w:rsidR="00743351" w:rsidRPr="004F35E6">
        <w:rPr>
          <w:rFonts w:ascii="Arial" w:hAnsi="Arial" w:cs="Arial"/>
          <w:lang w:val="en-US"/>
        </w:rPr>
        <w:t xml:space="preserve"> imported products. Generally speaking, it prohibits Members from treating imported products less </w:t>
      </w:r>
      <w:proofErr w:type="spellStart"/>
      <w:r w:rsidR="00743351" w:rsidRPr="004F35E6">
        <w:rPr>
          <w:rFonts w:ascii="Arial" w:hAnsi="Arial" w:cs="Arial"/>
          <w:lang w:val="en-US"/>
        </w:rPr>
        <w:t>favourably</w:t>
      </w:r>
      <w:proofErr w:type="spellEnd"/>
      <w:r w:rsidR="00743351" w:rsidRPr="004F35E6">
        <w:rPr>
          <w:rFonts w:ascii="Arial" w:hAnsi="Arial" w:cs="Arial"/>
          <w:lang w:val="en-US"/>
        </w:rPr>
        <w:t xml:space="preserve"> than like domestic products once the imported product has entered the domestic market, i.e. once it has been cleared through customs</w:t>
      </w:r>
      <w:r w:rsidR="00C412A7" w:rsidRPr="004F35E6">
        <w:rPr>
          <w:rFonts w:ascii="Arial" w:hAnsi="Arial" w:cs="Arial"/>
          <w:lang w:val="en-US"/>
        </w:rPr>
        <w:t>”</w:t>
      </w:r>
      <w:r w:rsidR="00743351" w:rsidRPr="004F35E6">
        <w:rPr>
          <w:rFonts w:ascii="Arial" w:hAnsi="Arial" w:cs="Arial"/>
          <w:lang w:val="en-US"/>
        </w:rPr>
        <w:t>.</w:t>
      </w:r>
      <w:r w:rsidR="00743351" w:rsidRPr="004F35E6">
        <w:rPr>
          <w:rStyle w:val="Refdenotaderodap"/>
          <w:rFonts w:ascii="Arial" w:hAnsi="Arial" w:cs="Arial"/>
          <w:lang w:val="en-US"/>
        </w:rPr>
        <w:footnoteReference w:id="9"/>
      </w:r>
      <w:r w:rsidR="00743351" w:rsidRPr="004F35E6">
        <w:rPr>
          <w:rFonts w:ascii="Arial" w:hAnsi="Arial" w:cs="Arial"/>
          <w:lang w:val="en-US"/>
        </w:rPr>
        <w:t xml:space="preserve"> Article III.1 of </w:t>
      </w:r>
      <w:r w:rsidR="00F51631" w:rsidRPr="004F35E6">
        <w:rPr>
          <w:rFonts w:ascii="Arial" w:hAnsi="Arial" w:cs="Arial"/>
          <w:lang w:val="en-US"/>
        </w:rPr>
        <w:t xml:space="preserve">the </w:t>
      </w:r>
      <w:r w:rsidR="00743351" w:rsidRPr="004F35E6">
        <w:rPr>
          <w:rFonts w:ascii="Arial" w:hAnsi="Arial" w:cs="Arial"/>
          <w:lang w:val="en-US"/>
        </w:rPr>
        <w:t>GATT 1994 constitutes, to use John Jackson</w:t>
      </w:r>
      <w:r w:rsidR="00A11E82">
        <w:rPr>
          <w:rFonts w:ascii="Arial" w:hAnsi="Arial" w:cs="Arial"/>
          <w:lang w:val="en-US"/>
        </w:rPr>
        <w:t xml:space="preserve"> (2002)</w:t>
      </w:r>
      <w:r w:rsidR="00743351" w:rsidRPr="004F35E6">
        <w:rPr>
          <w:rFonts w:ascii="Arial" w:hAnsi="Arial" w:cs="Arial"/>
          <w:lang w:val="en-US"/>
        </w:rPr>
        <w:t xml:space="preserve"> words, “a general statement of policy, but includes an important phrase obligating contracting parties to avoid using taxes and regulations “</w:t>
      </w:r>
      <w:r w:rsidR="00743351" w:rsidRPr="004F35E6">
        <w:rPr>
          <w:rFonts w:ascii="Arial" w:hAnsi="Arial" w:cs="Arial"/>
          <w:i/>
          <w:lang w:val="en-US"/>
        </w:rPr>
        <w:t>so as to afford protection to domestic production</w:t>
      </w:r>
      <w:r w:rsidR="00C412A7" w:rsidRPr="004F35E6">
        <w:rPr>
          <w:rFonts w:ascii="Arial" w:hAnsi="Arial" w:cs="Arial"/>
          <w:lang w:val="en-US"/>
        </w:rPr>
        <w:t>”</w:t>
      </w:r>
      <w:r w:rsidR="004E2AF7" w:rsidRPr="004F35E6">
        <w:rPr>
          <w:rFonts w:ascii="Arial" w:hAnsi="Arial" w:cs="Arial"/>
          <w:lang w:val="en-US"/>
        </w:rPr>
        <w:t>”</w:t>
      </w:r>
      <w:r w:rsidR="00743351" w:rsidRPr="004F35E6">
        <w:rPr>
          <w:rFonts w:ascii="Arial" w:hAnsi="Arial" w:cs="Arial"/>
          <w:lang w:val="en-US"/>
        </w:rPr>
        <w:t>.</w:t>
      </w:r>
      <w:r w:rsidR="00743351" w:rsidRPr="004F35E6">
        <w:rPr>
          <w:rStyle w:val="Refdenotaderodap"/>
          <w:rFonts w:ascii="Arial" w:hAnsi="Arial" w:cs="Arial"/>
          <w:lang w:val="en-US"/>
        </w:rPr>
        <w:t xml:space="preserve"> </w:t>
      </w:r>
      <w:r w:rsidR="00743351" w:rsidRPr="004F35E6">
        <w:rPr>
          <w:rStyle w:val="Refdenotaderodap"/>
          <w:rFonts w:ascii="Arial" w:hAnsi="Arial" w:cs="Arial"/>
        </w:rPr>
        <w:footnoteReference w:id="10"/>
      </w:r>
    </w:p>
    <w:p w14:paraId="46BADC06" w14:textId="77777777" w:rsidR="00FE375E" w:rsidRDefault="00743351" w:rsidP="004F35E6">
      <w:pPr>
        <w:spacing w:line="240" w:lineRule="auto"/>
        <w:jc w:val="both"/>
        <w:rPr>
          <w:rFonts w:ascii="Arial" w:hAnsi="Arial" w:cs="Arial"/>
          <w:lang w:val="en-US"/>
        </w:rPr>
      </w:pPr>
      <w:r w:rsidRPr="004F35E6">
        <w:rPr>
          <w:rFonts w:ascii="Arial" w:hAnsi="Arial" w:cs="Arial"/>
          <w:lang w:val="en-US"/>
        </w:rPr>
        <w:tab/>
      </w:r>
    </w:p>
    <w:p w14:paraId="0997AC52" w14:textId="77777777" w:rsidR="001368FE" w:rsidRPr="004F35E6" w:rsidRDefault="00F51631" w:rsidP="004F35E6">
      <w:pPr>
        <w:spacing w:line="240" w:lineRule="auto"/>
        <w:jc w:val="both"/>
        <w:rPr>
          <w:rFonts w:ascii="Arial" w:hAnsi="Arial" w:cs="Arial"/>
          <w:lang w:val="en-US" w:eastAsia="fr-FR"/>
        </w:rPr>
      </w:pPr>
      <w:r w:rsidRPr="004F35E6">
        <w:rPr>
          <w:rFonts w:ascii="Arial" w:hAnsi="Arial" w:cs="Arial"/>
          <w:lang w:val="en-US"/>
        </w:rPr>
        <w:tab/>
      </w:r>
      <w:r w:rsidR="001368FE" w:rsidRPr="004F35E6">
        <w:rPr>
          <w:rFonts w:ascii="Arial" w:hAnsi="Arial" w:cs="Arial"/>
          <w:lang w:val="en-US"/>
        </w:rPr>
        <w:t>LCRs often violate Article</w:t>
      </w:r>
      <w:r w:rsidR="00FB7AC0" w:rsidRPr="004F35E6">
        <w:rPr>
          <w:rFonts w:ascii="Arial" w:hAnsi="Arial" w:cs="Arial"/>
          <w:lang w:val="en-US"/>
        </w:rPr>
        <w:t xml:space="preserve"> III</w:t>
      </w:r>
      <w:r w:rsidR="00F0480F" w:rsidRPr="004F35E6">
        <w:rPr>
          <w:rFonts w:ascii="Arial" w:hAnsi="Arial" w:cs="Arial"/>
          <w:lang w:val="en-US"/>
        </w:rPr>
        <w:t>. 4</w:t>
      </w:r>
      <w:r w:rsidR="00FB7AC0" w:rsidRPr="004F35E6">
        <w:rPr>
          <w:rFonts w:ascii="Arial" w:hAnsi="Arial" w:cs="Arial"/>
          <w:lang w:val="en-US"/>
        </w:rPr>
        <w:t xml:space="preserve"> of </w:t>
      </w:r>
      <w:r w:rsidRPr="004F35E6">
        <w:rPr>
          <w:rFonts w:ascii="Arial" w:hAnsi="Arial" w:cs="Arial"/>
          <w:lang w:val="en-US"/>
        </w:rPr>
        <w:t xml:space="preserve">the </w:t>
      </w:r>
      <w:r w:rsidR="00FB7AC0" w:rsidRPr="004F35E6">
        <w:rPr>
          <w:rFonts w:ascii="Arial" w:hAnsi="Arial" w:cs="Arial"/>
          <w:lang w:val="en-US"/>
        </w:rPr>
        <w:t xml:space="preserve">GATT 1994. </w:t>
      </w:r>
      <w:r w:rsidR="00C412A7" w:rsidRPr="004F35E6">
        <w:rPr>
          <w:rFonts w:ascii="Arial" w:hAnsi="Arial" w:cs="Arial"/>
          <w:lang w:val="en-US"/>
        </w:rPr>
        <w:t>B</w:t>
      </w:r>
      <w:r w:rsidR="001368FE" w:rsidRPr="004F35E6">
        <w:rPr>
          <w:rFonts w:ascii="Arial" w:hAnsi="Arial" w:cs="Arial"/>
          <w:lang w:val="en-US"/>
        </w:rPr>
        <w:t xml:space="preserve">y its very nature, LCRs </w:t>
      </w:r>
      <w:r w:rsidR="001368FE" w:rsidRPr="004F35E6">
        <w:rPr>
          <w:rFonts w:ascii="Arial" w:hAnsi="Arial" w:cs="Arial"/>
          <w:lang w:val="en-US" w:eastAsia="fr-FR"/>
        </w:rPr>
        <w:t>condition the grant of a benefit, by means of subsidies or other kinds of incentives, on the use of domestic products and services, i.e. they discriminate products</w:t>
      </w:r>
      <w:r w:rsidR="0063404B" w:rsidRPr="004F35E6">
        <w:rPr>
          <w:rFonts w:ascii="Arial" w:hAnsi="Arial" w:cs="Arial"/>
          <w:lang w:val="en-US" w:eastAsia="fr-FR"/>
        </w:rPr>
        <w:t xml:space="preserve"> in view of their territorial origin.</w:t>
      </w:r>
      <w:r w:rsidR="009A198A" w:rsidRPr="004F35E6">
        <w:rPr>
          <w:rStyle w:val="Refdenotaderodap"/>
          <w:rFonts w:ascii="Arial" w:hAnsi="Arial" w:cs="Arial"/>
          <w:lang w:val="en-US" w:eastAsia="fr-FR"/>
        </w:rPr>
        <w:footnoteReference w:id="11"/>
      </w:r>
    </w:p>
    <w:p w14:paraId="1ABA8CF9" w14:textId="77777777" w:rsidR="00340A49" w:rsidRPr="004F35E6" w:rsidRDefault="00340A49" w:rsidP="004F35E6">
      <w:pPr>
        <w:spacing w:line="240" w:lineRule="auto"/>
        <w:jc w:val="both"/>
        <w:rPr>
          <w:rFonts w:ascii="Arial" w:hAnsi="Arial" w:cs="Arial"/>
          <w:lang w:val="en-US"/>
        </w:rPr>
      </w:pPr>
      <w:r w:rsidRPr="004F35E6">
        <w:rPr>
          <w:rFonts w:ascii="Arial" w:hAnsi="Arial" w:cs="Arial"/>
          <w:lang w:val="en-US"/>
        </w:rPr>
        <w:tab/>
        <w:t>Article III. 5, in turn, is more explicit as to the inconsistency of LCRs with its provisions. According to it, no govern shall impose the obligation of use of domestic products in the productive chain by restricting the use of imported products to a percentage of domestic products. LCRs are not only trade, but also investment related measures.</w:t>
      </w:r>
      <w:r w:rsidR="00831BD1" w:rsidRPr="004F35E6">
        <w:rPr>
          <w:rStyle w:val="Refdenotaderodap"/>
          <w:rFonts w:ascii="Arial" w:hAnsi="Arial" w:cs="Arial"/>
          <w:lang w:val="en-US"/>
        </w:rPr>
        <w:footnoteReference w:id="12"/>
      </w:r>
      <w:r w:rsidRPr="004F35E6">
        <w:rPr>
          <w:rFonts w:ascii="Arial" w:hAnsi="Arial" w:cs="Arial"/>
          <w:lang w:val="en-US"/>
        </w:rPr>
        <w:t xml:space="preserve"> It would seem reasonable to assume that, because it is more specific, Article III. 5 should be applied more frequently in the case law related to LCRs. </w:t>
      </w:r>
      <w:r w:rsidR="00FE375E">
        <w:rPr>
          <w:rFonts w:ascii="Arial" w:hAnsi="Arial" w:cs="Arial"/>
          <w:lang w:val="en-US"/>
        </w:rPr>
        <w:t>However</w:t>
      </w:r>
      <w:r w:rsidR="00586D86" w:rsidRPr="004F35E6">
        <w:rPr>
          <w:rFonts w:ascii="Arial" w:hAnsi="Arial" w:cs="Arial"/>
          <w:lang w:val="en-US"/>
        </w:rPr>
        <w:t>, both the AB and the P</w:t>
      </w:r>
      <w:r w:rsidRPr="004F35E6">
        <w:rPr>
          <w:rFonts w:ascii="Arial" w:hAnsi="Arial" w:cs="Arial"/>
          <w:lang w:val="en-US"/>
        </w:rPr>
        <w:t>anels have chosen to scrutinize consistency of LCRs measures with WTO rules based on t</w:t>
      </w:r>
      <w:r w:rsidR="00586D86" w:rsidRPr="004F35E6">
        <w:rPr>
          <w:rFonts w:ascii="Arial" w:hAnsi="Arial" w:cs="Arial"/>
          <w:lang w:val="en-US"/>
        </w:rPr>
        <w:t xml:space="preserve">he provisions of Article III. 4 of </w:t>
      </w:r>
      <w:r w:rsidR="00A37915" w:rsidRPr="004F35E6">
        <w:rPr>
          <w:rFonts w:ascii="Arial" w:hAnsi="Arial" w:cs="Arial"/>
          <w:lang w:val="en-US"/>
        </w:rPr>
        <w:t xml:space="preserve">the </w:t>
      </w:r>
      <w:r w:rsidR="00586D86" w:rsidRPr="004F35E6">
        <w:rPr>
          <w:rFonts w:ascii="Arial" w:hAnsi="Arial" w:cs="Arial"/>
          <w:lang w:val="en-US"/>
        </w:rPr>
        <w:t>GATT 1994.</w:t>
      </w:r>
      <w:r w:rsidRPr="004F35E6">
        <w:rPr>
          <w:rFonts w:ascii="Arial" w:hAnsi="Arial" w:cs="Arial"/>
          <w:lang w:val="en-US"/>
        </w:rPr>
        <w:t xml:space="preserve"> </w:t>
      </w:r>
    </w:p>
    <w:p w14:paraId="01BEF55E" w14:textId="77777777" w:rsidR="00402EBB" w:rsidRPr="004F35E6" w:rsidRDefault="00402EBB" w:rsidP="009C3CFA">
      <w:pPr>
        <w:spacing w:after="0" w:line="240" w:lineRule="auto"/>
        <w:ind w:firstLine="708"/>
        <w:jc w:val="both"/>
        <w:rPr>
          <w:rFonts w:ascii="Arial" w:hAnsi="Arial" w:cs="Arial"/>
          <w:lang w:val="en-US"/>
        </w:rPr>
      </w:pPr>
      <w:r w:rsidRPr="004F35E6">
        <w:rPr>
          <w:rFonts w:ascii="Arial" w:hAnsi="Arial" w:cs="Arial"/>
          <w:lang w:val="en-US"/>
        </w:rPr>
        <w:t xml:space="preserve"> </w:t>
      </w:r>
      <w:proofErr w:type="spellStart"/>
      <w:r w:rsidRPr="004F35E6">
        <w:rPr>
          <w:rFonts w:ascii="Arial" w:hAnsi="Arial" w:cs="Arial"/>
          <w:lang w:val="en-US"/>
        </w:rPr>
        <w:t>Hestermeyer</w:t>
      </w:r>
      <w:proofErr w:type="spellEnd"/>
      <w:r w:rsidRPr="004F35E6">
        <w:rPr>
          <w:rFonts w:ascii="Arial" w:hAnsi="Arial" w:cs="Arial"/>
          <w:lang w:val="en-US"/>
        </w:rPr>
        <w:t xml:space="preserve"> and Nielsen</w:t>
      </w:r>
      <w:r w:rsidR="009C3CFA">
        <w:rPr>
          <w:rFonts w:ascii="Arial" w:hAnsi="Arial" w:cs="Arial"/>
          <w:lang w:val="en-US"/>
        </w:rPr>
        <w:t xml:space="preserve"> (2014) point out that</w:t>
      </w:r>
      <w:r w:rsidRPr="004F35E6">
        <w:rPr>
          <w:rFonts w:ascii="Arial" w:hAnsi="Arial" w:cs="Arial"/>
          <w:lang w:val="en-US"/>
        </w:rPr>
        <w:t xml:space="preserve"> the jurisprudential preference for Article III. 4</w:t>
      </w:r>
      <w:r w:rsidR="004D7DDE" w:rsidRPr="004F35E6">
        <w:rPr>
          <w:rFonts w:ascii="Arial" w:hAnsi="Arial" w:cs="Arial"/>
          <w:lang w:val="en-US"/>
        </w:rPr>
        <w:t xml:space="preserve"> of GATT 1994</w:t>
      </w:r>
      <w:r w:rsidRPr="004F35E6">
        <w:rPr>
          <w:rFonts w:ascii="Arial" w:hAnsi="Arial" w:cs="Arial"/>
          <w:lang w:val="en-US"/>
        </w:rPr>
        <w:t xml:space="preserve"> is probably a coincidence. In cases regarding LCRs measures, a complaining party will generally invoke both Article III.4 and III.5. </w:t>
      </w:r>
      <w:r w:rsidR="004D7DDE" w:rsidRPr="004F35E6">
        <w:rPr>
          <w:rFonts w:ascii="Arial" w:hAnsi="Arial" w:cs="Arial"/>
          <w:lang w:val="en-US"/>
        </w:rPr>
        <w:t>It is incumbent upon the P</w:t>
      </w:r>
      <w:r w:rsidR="002A0116" w:rsidRPr="004F35E6">
        <w:rPr>
          <w:rFonts w:ascii="Arial" w:hAnsi="Arial" w:cs="Arial"/>
          <w:lang w:val="en-US"/>
        </w:rPr>
        <w:t>anel t</w:t>
      </w:r>
      <w:r w:rsidRPr="004F35E6">
        <w:rPr>
          <w:rFonts w:ascii="Arial" w:hAnsi="Arial" w:cs="Arial"/>
          <w:lang w:val="en-US"/>
        </w:rPr>
        <w:t xml:space="preserve">o take the decision on which provision it will </w:t>
      </w:r>
      <w:proofErr w:type="spellStart"/>
      <w:r w:rsidRPr="004F35E6">
        <w:rPr>
          <w:rFonts w:ascii="Arial" w:hAnsi="Arial" w:cs="Arial"/>
          <w:lang w:val="en-US"/>
        </w:rPr>
        <w:t>analyse</w:t>
      </w:r>
      <w:proofErr w:type="spellEnd"/>
      <w:r w:rsidRPr="004F35E6">
        <w:rPr>
          <w:rFonts w:ascii="Arial" w:hAnsi="Arial" w:cs="Arial"/>
          <w:lang w:val="en-US"/>
        </w:rPr>
        <w:t xml:space="preserve"> first. “In the overwhelming majority of cases involving Article III.4 and 5 panels have started their analysis with the </w:t>
      </w:r>
      <w:r w:rsidR="000C4A44">
        <w:rPr>
          <w:rFonts w:ascii="Arial" w:hAnsi="Arial" w:cs="Arial"/>
          <w:lang w:val="en-US"/>
        </w:rPr>
        <w:t xml:space="preserve">paragraphs </w:t>
      </w:r>
      <w:r w:rsidRPr="004F35E6">
        <w:rPr>
          <w:rFonts w:ascii="Arial" w:hAnsi="Arial" w:cs="Arial"/>
          <w:lang w:val="en-US"/>
        </w:rPr>
        <w:t xml:space="preserve">parties have cited to </w:t>
      </w:r>
      <w:r w:rsidRPr="004F35E6">
        <w:rPr>
          <w:rFonts w:ascii="Arial" w:hAnsi="Arial" w:cs="Arial"/>
          <w:i/>
          <w:lang w:val="en-US"/>
        </w:rPr>
        <w:t>first</w:t>
      </w:r>
      <w:r w:rsidR="00C412A7" w:rsidRPr="004F35E6">
        <w:rPr>
          <w:rFonts w:ascii="Arial" w:hAnsi="Arial" w:cs="Arial"/>
          <w:lang w:val="en-US"/>
        </w:rPr>
        <w:t>”</w:t>
      </w:r>
      <w:r w:rsidRPr="004F35E6">
        <w:rPr>
          <w:rFonts w:ascii="Arial" w:hAnsi="Arial" w:cs="Arial"/>
          <w:lang w:val="en-US"/>
        </w:rPr>
        <w:t>.</w:t>
      </w:r>
      <w:r w:rsidRPr="004F35E6">
        <w:rPr>
          <w:rStyle w:val="Refdenotaderodap"/>
          <w:rFonts w:ascii="Arial" w:hAnsi="Arial" w:cs="Arial"/>
        </w:rPr>
        <w:footnoteReference w:id="13"/>
      </w:r>
      <w:r w:rsidRPr="004F35E6">
        <w:rPr>
          <w:rFonts w:ascii="Arial" w:hAnsi="Arial" w:cs="Arial"/>
          <w:lang w:val="en-US"/>
        </w:rPr>
        <w:t xml:space="preserve"> </w:t>
      </w:r>
    </w:p>
    <w:p w14:paraId="15D7C083" w14:textId="77777777" w:rsidR="003B3199" w:rsidRPr="004F35E6" w:rsidRDefault="003B3199" w:rsidP="004F35E6">
      <w:pPr>
        <w:spacing w:line="240" w:lineRule="auto"/>
        <w:jc w:val="both"/>
        <w:rPr>
          <w:rFonts w:ascii="Arial" w:hAnsi="Arial" w:cs="Arial"/>
          <w:lang w:val="en-US"/>
        </w:rPr>
      </w:pPr>
    </w:p>
    <w:p w14:paraId="11011F43" w14:textId="77777777" w:rsidR="00F10F8E" w:rsidRPr="004F35E6" w:rsidRDefault="005C31BB" w:rsidP="004F35E6">
      <w:pPr>
        <w:spacing w:line="240" w:lineRule="auto"/>
        <w:jc w:val="both"/>
        <w:rPr>
          <w:rFonts w:ascii="Arial" w:hAnsi="Arial" w:cs="Arial"/>
          <w:lang w:val="en-US"/>
        </w:rPr>
      </w:pPr>
      <w:r w:rsidRPr="004F35E6">
        <w:rPr>
          <w:rFonts w:ascii="Arial" w:hAnsi="Arial" w:cs="Arial"/>
          <w:lang w:val="en-US"/>
        </w:rPr>
        <w:tab/>
        <w:t>The most important exception to the national treatment obligation is related to Government Procurement as set forth in Article III, 8, a.</w:t>
      </w:r>
      <w:r w:rsidR="00F10F8E" w:rsidRPr="004F35E6">
        <w:rPr>
          <w:rFonts w:ascii="Arial" w:hAnsi="Arial" w:cs="Arial"/>
          <w:lang w:val="en-US"/>
        </w:rPr>
        <w:t xml:space="preserve"> It </w:t>
      </w:r>
      <w:r w:rsidR="0069106E" w:rsidRPr="004F35E6">
        <w:rPr>
          <w:rFonts w:ascii="Arial" w:hAnsi="Arial" w:cs="Arial"/>
          <w:lang w:val="en-US"/>
        </w:rPr>
        <w:t>exempts from</w:t>
      </w:r>
      <w:r w:rsidR="00F10F8E" w:rsidRPr="004F35E6">
        <w:rPr>
          <w:rFonts w:ascii="Arial" w:hAnsi="Arial" w:cs="Arial"/>
          <w:lang w:val="en-US"/>
        </w:rPr>
        <w:t xml:space="preserve"> Article III national treatment, purchases by “governmental agencies of products purcha</w:t>
      </w:r>
      <w:r w:rsidR="00D009F0" w:rsidRPr="004F35E6">
        <w:rPr>
          <w:rFonts w:ascii="Arial" w:hAnsi="Arial" w:cs="Arial"/>
          <w:lang w:val="en-US"/>
        </w:rPr>
        <w:t>sed for governmental purposes…” (Government Procurement).</w:t>
      </w:r>
      <w:r w:rsidR="00F10F8E" w:rsidRPr="004F35E6">
        <w:rPr>
          <w:rStyle w:val="Refdenotaderodap"/>
          <w:rFonts w:ascii="Arial" w:hAnsi="Arial" w:cs="Arial"/>
          <w:lang w:val="en-US"/>
        </w:rPr>
        <w:footnoteReference w:id="14"/>
      </w:r>
    </w:p>
    <w:p w14:paraId="73190442" w14:textId="77777777" w:rsidR="004861CE" w:rsidRPr="004F35E6" w:rsidRDefault="004861CE" w:rsidP="004F35E6">
      <w:pPr>
        <w:spacing w:after="0" w:line="240" w:lineRule="auto"/>
        <w:jc w:val="both"/>
        <w:rPr>
          <w:rFonts w:ascii="Arial" w:hAnsi="Arial" w:cs="Arial"/>
          <w:lang w:val="en-US"/>
        </w:rPr>
      </w:pPr>
      <w:r w:rsidRPr="004F35E6">
        <w:rPr>
          <w:rFonts w:ascii="Arial" w:hAnsi="Arial" w:cs="Arial"/>
          <w:lang w:val="en-US"/>
        </w:rPr>
        <w:tab/>
        <w:t xml:space="preserve">The TRIMs </w:t>
      </w:r>
      <w:r w:rsidR="00873BBB" w:rsidRPr="004F35E6">
        <w:rPr>
          <w:rFonts w:ascii="Arial" w:hAnsi="Arial" w:cs="Arial"/>
          <w:lang w:val="en-US"/>
        </w:rPr>
        <w:t xml:space="preserve">Agreement </w:t>
      </w:r>
      <w:r w:rsidRPr="004F35E6">
        <w:rPr>
          <w:rFonts w:ascii="Arial" w:hAnsi="Arial" w:cs="Arial"/>
          <w:lang w:val="en-US"/>
        </w:rPr>
        <w:t>was conceived to prevent trade restrictive and distorting effects of investment measures and specifically treats LCRs as prohibited trade-relate</w:t>
      </w:r>
      <w:r w:rsidR="00326B71" w:rsidRPr="004F35E6">
        <w:rPr>
          <w:rFonts w:ascii="Arial" w:hAnsi="Arial" w:cs="Arial"/>
          <w:lang w:val="en-US"/>
        </w:rPr>
        <w:t>d investment measures. Its coverage</w:t>
      </w:r>
      <w:r w:rsidRPr="004F35E6">
        <w:rPr>
          <w:rFonts w:ascii="Arial" w:hAnsi="Arial" w:cs="Arial"/>
          <w:lang w:val="en-US"/>
        </w:rPr>
        <w:t xml:space="preserve"> is limited to the trade i</w:t>
      </w:r>
      <w:r w:rsidR="0069106E" w:rsidRPr="004F35E6">
        <w:rPr>
          <w:rFonts w:ascii="Arial" w:hAnsi="Arial" w:cs="Arial"/>
          <w:lang w:val="en-US"/>
        </w:rPr>
        <w:t>n goods as set out by Article</w:t>
      </w:r>
      <w:r w:rsidR="00C20E39" w:rsidRPr="004F35E6">
        <w:rPr>
          <w:rFonts w:ascii="Arial" w:hAnsi="Arial" w:cs="Arial"/>
          <w:lang w:val="en-US"/>
        </w:rPr>
        <w:t xml:space="preserve"> 1.</w:t>
      </w:r>
    </w:p>
    <w:p w14:paraId="21C55DA7" w14:textId="77777777" w:rsidR="004846FB" w:rsidRPr="004F35E6" w:rsidRDefault="004846FB" w:rsidP="004F35E6">
      <w:pPr>
        <w:spacing w:after="0" w:line="240" w:lineRule="auto"/>
        <w:jc w:val="both"/>
        <w:rPr>
          <w:rFonts w:ascii="Arial" w:hAnsi="Arial" w:cs="Arial"/>
          <w:lang w:val="en-US"/>
        </w:rPr>
      </w:pPr>
    </w:p>
    <w:p w14:paraId="2BA684F2" w14:textId="77777777" w:rsidR="00326B71" w:rsidRPr="004F35E6" w:rsidRDefault="00326B71" w:rsidP="004F35E6">
      <w:pPr>
        <w:spacing w:after="0" w:line="240" w:lineRule="auto"/>
        <w:jc w:val="both"/>
        <w:rPr>
          <w:rFonts w:ascii="Arial" w:hAnsi="Arial" w:cs="Arial"/>
          <w:lang w:val="en-US"/>
        </w:rPr>
      </w:pPr>
      <w:r w:rsidRPr="004F35E6">
        <w:rPr>
          <w:rFonts w:ascii="Arial" w:hAnsi="Arial" w:cs="Arial"/>
          <w:lang w:val="en-US"/>
        </w:rPr>
        <w:tab/>
        <w:t xml:space="preserve">Investment measures related to trade are not defined under the TRIMs. It solely provides in its Annex I </w:t>
      </w:r>
      <w:proofErr w:type="spellStart"/>
      <w:r w:rsidRPr="004F35E6">
        <w:rPr>
          <w:rFonts w:ascii="Arial" w:hAnsi="Arial" w:cs="Arial"/>
          <w:lang w:val="en-US"/>
        </w:rPr>
        <w:t>a</w:t>
      </w:r>
      <w:r w:rsidR="00AA3C86" w:rsidRPr="004F35E6">
        <w:rPr>
          <w:rFonts w:ascii="Arial" w:hAnsi="Arial" w:cs="Arial"/>
          <w:lang w:val="en-US"/>
        </w:rPr>
        <w:t>n</w:t>
      </w:r>
      <w:proofErr w:type="spellEnd"/>
      <w:r w:rsidRPr="004F35E6">
        <w:rPr>
          <w:rFonts w:ascii="Arial" w:hAnsi="Arial" w:cs="Arial"/>
          <w:lang w:val="en-US"/>
        </w:rPr>
        <w:t xml:space="preserve"> illustrative list of measures that, under Article </w:t>
      </w:r>
      <w:r w:rsidR="00AA3C86" w:rsidRPr="004F35E6">
        <w:rPr>
          <w:rFonts w:ascii="Arial" w:hAnsi="Arial" w:cs="Arial"/>
          <w:lang w:val="en-US"/>
        </w:rPr>
        <w:t>2.2, are incompatible with the national treatment obligation set forth in Article III. 4 of GATT 1994 and the obligation of general elimination of quantitative restrictions foreseen in Article XI.1.</w:t>
      </w:r>
      <w:r w:rsidR="00C20E39" w:rsidRPr="004F35E6">
        <w:rPr>
          <w:rStyle w:val="Refdenotaderodap"/>
          <w:rFonts w:ascii="Arial" w:hAnsi="Arial" w:cs="Arial"/>
          <w:lang w:val="en-US"/>
        </w:rPr>
        <w:footnoteReference w:id="15"/>
      </w:r>
    </w:p>
    <w:p w14:paraId="2E46F103" w14:textId="77777777" w:rsidR="00A15374" w:rsidRPr="004F35E6" w:rsidRDefault="00A15374" w:rsidP="004F35E6">
      <w:pPr>
        <w:pStyle w:val="Default"/>
        <w:ind w:firstLine="708"/>
        <w:jc w:val="both"/>
        <w:rPr>
          <w:rFonts w:ascii="Arial" w:hAnsi="Arial" w:cs="Arial"/>
          <w:sz w:val="22"/>
          <w:szCs w:val="22"/>
          <w:lang w:val="en-US"/>
        </w:rPr>
      </w:pPr>
    </w:p>
    <w:p w14:paraId="7298C34C" w14:textId="77777777" w:rsidR="00C20E39" w:rsidRPr="004F35E6" w:rsidRDefault="00D214F9" w:rsidP="004F35E6">
      <w:pPr>
        <w:pStyle w:val="Default"/>
        <w:ind w:firstLine="708"/>
        <w:jc w:val="both"/>
        <w:rPr>
          <w:rFonts w:ascii="Arial" w:hAnsi="Arial" w:cs="Arial"/>
          <w:color w:val="auto"/>
          <w:sz w:val="22"/>
          <w:szCs w:val="22"/>
          <w:lang w:val="en-US"/>
        </w:rPr>
      </w:pPr>
      <w:r w:rsidRPr="004F35E6">
        <w:rPr>
          <w:rFonts w:ascii="Arial" w:hAnsi="Arial" w:cs="Arial"/>
          <w:sz w:val="22"/>
          <w:szCs w:val="22"/>
          <w:lang w:val="en-US"/>
        </w:rPr>
        <w:t xml:space="preserve">Such measures limit the right to a free </w:t>
      </w:r>
      <w:r w:rsidR="005B30DA" w:rsidRPr="004F35E6">
        <w:rPr>
          <w:rFonts w:ascii="Arial" w:hAnsi="Arial" w:cs="Arial"/>
          <w:sz w:val="22"/>
          <w:szCs w:val="22"/>
          <w:lang w:val="en-US"/>
        </w:rPr>
        <w:t>management</w:t>
      </w:r>
      <w:r w:rsidRPr="004F35E6">
        <w:rPr>
          <w:rFonts w:ascii="Arial" w:hAnsi="Arial" w:cs="Arial"/>
          <w:sz w:val="22"/>
          <w:szCs w:val="22"/>
          <w:lang w:val="en-US"/>
        </w:rPr>
        <w:t xml:space="preserve"> of the investment</w:t>
      </w:r>
      <w:r w:rsidR="006F1A49" w:rsidRPr="004F35E6">
        <w:rPr>
          <w:rFonts w:ascii="Arial" w:hAnsi="Arial" w:cs="Arial"/>
          <w:sz w:val="22"/>
          <w:szCs w:val="22"/>
          <w:lang w:val="en-US"/>
        </w:rPr>
        <w:t xml:space="preserve"> by imposing certain obligations. They affect the international trade in goods violating fundamental principles</w:t>
      </w:r>
      <w:r w:rsidR="004D7DDE" w:rsidRPr="004F35E6">
        <w:rPr>
          <w:rFonts w:ascii="Arial" w:hAnsi="Arial" w:cs="Arial"/>
          <w:sz w:val="22"/>
          <w:szCs w:val="22"/>
          <w:lang w:val="en-US"/>
        </w:rPr>
        <w:t xml:space="preserve"> of the WTO international trading</w:t>
      </w:r>
      <w:r w:rsidR="00B82DB0" w:rsidRPr="004F35E6">
        <w:rPr>
          <w:rFonts w:ascii="Arial" w:hAnsi="Arial" w:cs="Arial"/>
          <w:sz w:val="22"/>
          <w:szCs w:val="22"/>
          <w:lang w:val="en-US"/>
        </w:rPr>
        <w:t xml:space="preserve"> system. </w:t>
      </w:r>
      <w:r w:rsidR="00C20E39" w:rsidRPr="004F35E6">
        <w:rPr>
          <w:rFonts w:ascii="Arial" w:hAnsi="Arial" w:cs="Arial"/>
          <w:color w:val="auto"/>
          <w:sz w:val="22"/>
          <w:szCs w:val="22"/>
          <w:lang w:val="en-US"/>
        </w:rPr>
        <w:t xml:space="preserve">The TRIMs agreement has therefore the effect of limiting the political options of a Member to regulate the international investment once it has been admitted to the country (post-entrance) by means of the measures expressly prohibited thereunder. </w:t>
      </w:r>
    </w:p>
    <w:p w14:paraId="69893830" w14:textId="77777777" w:rsidR="00632ABB" w:rsidRPr="004F35E6" w:rsidRDefault="00834DEE" w:rsidP="004F35E6">
      <w:pPr>
        <w:spacing w:after="0" w:line="240" w:lineRule="auto"/>
        <w:jc w:val="both"/>
        <w:rPr>
          <w:rFonts w:ascii="Arial" w:hAnsi="Arial" w:cs="Arial"/>
          <w:b/>
          <w:lang w:val="en-US"/>
        </w:rPr>
      </w:pPr>
      <w:r w:rsidRPr="004F35E6">
        <w:rPr>
          <w:rFonts w:ascii="Arial" w:hAnsi="Arial" w:cs="Arial"/>
          <w:lang w:val="en-US"/>
        </w:rPr>
        <w:tab/>
      </w:r>
    </w:p>
    <w:p w14:paraId="503D73C3" w14:textId="77777777" w:rsidR="004C187D" w:rsidRPr="00C82A7A" w:rsidRDefault="00C82A7A" w:rsidP="004F35E6">
      <w:pPr>
        <w:spacing w:line="240" w:lineRule="auto"/>
        <w:jc w:val="both"/>
        <w:rPr>
          <w:rFonts w:ascii="Arial" w:hAnsi="Arial" w:cs="Arial"/>
          <w:b/>
          <w:sz w:val="24"/>
          <w:szCs w:val="24"/>
          <w:lang w:val="en-US"/>
        </w:rPr>
      </w:pPr>
      <w:r w:rsidRPr="00C82A7A">
        <w:rPr>
          <w:rFonts w:ascii="Arial" w:hAnsi="Arial" w:cs="Arial"/>
          <w:b/>
          <w:sz w:val="24"/>
          <w:szCs w:val="24"/>
          <w:lang w:val="en-US"/>
        </w:rPr>
        <w:t>5</w:t>
      </w:r>
      <w:r w:rsidRPr="00C82A7A">
        <w:rPr>
          <w:rFonts w:ascii="Arial" w:hAnsi="Arial" w:cs="Arial"/>
          <w:b/>
          <w:sz w:val="24"/>
          <w:szCs w:val="24"/>
          <w:lang w:val="en-US"/>
        </w:rPr>
        <w:tab/>
      </w:r>
      <w:r w:rsidR="004C187D" w:rsidRPr="00C82A7A">
        <w:rPr>
          <w:rFonts w:ascii="Arial" w:hAnsi="Arial" w:cs="Arial"/>
          <w:b/>
          <w:sz w:val="24"/>
          <w:szCs w:val="24"/>
          <w:lang w:val="en-US"/>
        </w:rPr>
        <w:t>The consi</w:t>
      </w:r>
      <w:r w:rsidR="004775B9" w:rsidRPr="00C82A7A">
        <w:rPr>
          <w:rFonts w:ascii="Arial" w:hAnsi="Arial" w:cs="Arial"/>
          <w:b/>
          <w:sz w:val="24"/>
          <w:szCs w:val="24"/>
          <w:lang w:val="en-US"/>
        </w:rPr>
        <w:t xml:space="preserve">stent and </w:t>
      </w:r>
      <w:r w:rsidR="00D009F0" w:rsidRPr="00C82A7A">
        <w:rPr>
          <w:rFonts w:ascii="Arial" w:hAnsi="Arial" w:cs="Arial"/>
          <w:b/>
          <w:sz w:val="24"/>
          <w:szCs w:val="24"/>
          <w:lang w:val="en-US"/>
        </w:rPr>
        <w:t>coherent findings</w:t>
      </w:r>
      <w:r w:rsidR="005A0D32" w:rsidRPr="00C82A7A">
        <w:rPr>
          <w:rFonts w:ascii="Arial" w:hAnsi="Arial" w:cs="Arial"/>
          <w:b/>
          <w:sz w:val="24"/>
          <w:szCs w:val="24"/>
          <w:lang w:val="en-US"/>
        </w:rPr>
        <w:t xml:space="preserve"> </w:t>
      </w:r>
      <w:r w:rsidR="00D009F0" w:rsidRPr="00C82A7A">
        <w:rPr>
          <w:rFonts w:ascii="Arial" w:hAnsi="Arial" w:cs="Arial"/>
          <w:b/>
          <w:sz w:val="24"/>
          <w:szCs w:val="24"/>
          <w:lang w:val="en-US"/>
        </w:rPr>
        <w:t>and rulings</w:t>
      </w:r>
      <w:r w:rsidR="0020477E" w:rsidRPr="00C82A7A">
        <w:rPr>
          <w:rFonts w:ascii="Arial" w:hAnsi="Arial" w:cs="Arial"/>
          <w:b/>
          <w:sz w:val="24"/>
          <w:szCs w:val="24"/>
          <w:lang w:val="en-US"/>
        </w:rPr>
        <w:t xml:space="preserve"> </w:t>
      </w:r>
      <w:r w:rsidR="00C67EDE" w:rsidRPr="00C82A7A">
        <w:rPr>
          <w:rFonts w:ascii="Arial" w:hAnsi="Arial" w:cs="Arial"/>
          <w:b/>
          <w:sz w:val="24"/>
          <w:szCs w:val="24"/>
          <w:lang w:val="en-US"/>
        </w:rPr>
        <w:t>by the AB</w:t>
      </w:r>
      <w:r w:rsidR="00450538" w:rsidRPr="00C82A7A">
        <w:rPr>
          <w:rFonts w:ascii="Arial" w:hAnsi="Arial" w:cs="Arial"/>
          <w:b/>
          <w:sz w:val="24"/>
          <w:szCs w:val="24"/>
          <w:lang w:val="en-US"/>
        </w:rPr>
        <w:t xml:space="preserve"> and the P</w:t>
      </w:r>
      <w:r w:rsidR="0068206B" w:rsidRPr="00C82A7A">
        <w:rPr>
          <w:rFonts w:ascii="Arial" w:hAnsi="Arial" w:cs="Arial"/>
          <w:b/>
          <w:sz w:val="24"/>
          <w:szCs w:val="24"/>
          <w:lang w:val="en-US"/>
        </w:rPr>
        <w:t>anel</w:t>
      </w:r>
      <w:r w:rsidR="005A0D32" w:rsidRPr="00C82A7A">
        <w:rPr>
          <w:rFonts w:ascii="Arial" w:hAnsi="Arial" w:cs="Arial"/>
          <w:b/>
          <w:sz w:val="24"/>
          <w:szCs w:val="24"/>
          <w:lang w:val="en-US"/>
        </w:rPr>
        <w:t xml:space="preserve"> against</w:t>
      </w:r>
      <w:r w:rsidR="004C187D" w:rsidRPr="00C82A7A">
        <w:rPr>
          <w:rFonts w:ascii="Arial" w:hAnsi="Arial" w:cs="Arial"/>
          <w:b/>
          <w:sz w:val="24"/>
          <w:szCs w:val="24"/>
          <w:lang w:val="en-US"/>
        </w:rPr>
        <w:t xml:space="preserve"> the use of LCRs</w:t>
      </w:r>
    </w:p>
    <w:p w14:paraId="608ED003" w14:textId="77777777" w:rsidR="005A0D32" w:rsidRPr="004F35E6" w:rsidRDefault="005A0D32" w:rsidP="004F35E6">
      <w:pPr>
        <w:spacing w:line="240" w:lineRule="auto"/>
        <w:jc w:val="both"/>
        <w:rPr>
          <w:rFonts w:ascii="Arial" w:hAnsi="Arial" w:cs="Arial"/>
          <w:lang w:val="en-US"/>
        </w:rPr>
      </w:pPr>
      <w:r w:rsidRPr="004F35E6">
        <w:rPr>
          <w:rFonts w:ascii="Arial" w:hAnsi="Arial" w:cs="Arial"/>
          <w:b/>
          <w:lang w:val="en-US"/>
        </w:rPr>
        <w:tab/>
      </w:r>
      <w:r w:rsidR="00442529" w:rsidRPr="004F35E6">
        <w:rPr>
          <w:rFonts w:ascii="Arial" w:hAnsi="Arial" w:cs="Arial"/>
          <w:lang w:val="en-US"/>
        </w:rPr>
        <w:t xml:space="preserve">As mentioned above, both developed and developing countries implemented </w:t>
      </w:r>
      <w:r w:rsidR="00E4353D" w:rsidRPr="004F35E6">
        <w:rPr>
          <w:rFonts w:ascii="Arial" w:hAnsi="Arial" w:cs="Arial"/>
          <w:lang w:val="en-US"/>
        </w:rPr>
        <w:t xml:space="preserve">certain </w:t>
      </w:r>
      <w:r w:rsidR="00442529" w:rsidRPr="004F35E6">
        <w:rPr>
          <w:rFonts w:ascii="Arial" w:hAnsi="Arial" w:cs="Arial"/>
          <w:lang w:val="en-US"/>
        </w:rPr>
        <w:t xml:space="preserve">industrial policies by fostering </w:t>
      </w:r>
      <w:r w:rsidR="0068206B" w:rsidRPr="004F35E6">
        <w:rPr>
          <w:rFonts w:ascii="Arial" w:hAnsi="Arial" w:cs="Arial"/>
          <w:lang w:val="en-US"/>
        </w:rPr>
        <w:t>the use of LCRs in many sectors, such as</w:t>
      </w:r>
      <w:r w:rsidR="002442F6" w:rsidRPr="004F35E6">
        <w:rPr>
          <w:rFonts w:ascii="Arial" w:hAnsi="Arial" w:cs="Arial"/>
          <w:lang w:val="en-US"/>
        </w:rPr>
        <w:t xml:space="preserve"> the Automobile Industry and the so-called green economy.</w:t>
      </w:r>
      <w:r w:rsidR="00442529" w:rsidRPr="004F35E6">
        <w:rPr>
          <w:rFonts w:ascii="Arial" w:hAnsi="Arial" w:cs="Arial"/>
          <w:lang w:val="en-US"/>
        </w:rPr>
        <w:t xml:space="preserve"> As a general matter, the scope (or justification) of such policies is to create a favorable enviro</w:t>
      </w:r>
      <w:r w:rsidR="004775B9" w:rsidRPr="004F35E6">
        <w:rPr>
          <w:rFonts w:ascii="Arial" w:hAnsi="Arial" w:cs="Arial"/>
          <w:lang w:val="en-US"/>
        </w:rPr>
        <w:t>nment to assure economic growth</w:t>
      </w:r>
      <w:r w:rsidR="00442529" w:rsidRPr="004F35E6">
        <w:rPr>
          <w:rFonts w:ascii="Arial" w:hAnsi="Arial" w:cs="Arial"/>
          <w:lang w:val="en-US"/>
        </w:rPr>
        <w:t xml:space="preserve"> and development through the generation of jobs and </w:t>
      </w:r>
      <w:r w:rsidR="00AC75DB" w:rsidRPr="004F35E6">
        <w:rPr>
          <w:rFonts w:ascii="Arial" w:hAnsi="Arial" w:cs="Arial"/>
          <w:lang w:val="en-US"/>
        </w:rPr>
        <w:t>domestic technology.</w:t>
      </w:r>
    </w:p>
    <w:p w14:paraId="61CEEA90" w14:textId="77777777" w:rsidR="005A0D32" w:rsidRPr="004F35E6" w:rsidRDefault="00AC75DB" w:rsidP="004F35E6">
      <w:pPr>
        <w:spacing w:line="240" w:lineRule="auto"/>
        <w:jc w:val="both"/>
        <w:rPr>
          <w:rFonts w:ascii="Arial" w:hAnsi="Arial" w:cs="Arial"/>
          <w:lang w:val="en-US"/>
        </w:rPr>
      </w:pPr>
      <w:r w:rsidRPr="004F35E6">
        <w:rPr>
          <w:rFonts w:ascii="Arial" w:hAnsi="Arial" w:cs="Arial"/>
          <w:lang w:val="en-US"/>
        </w:rPr>
        <w:tab/>
        <w:t xml:space="preserve">However, the legality of </w:t>
      </w:r>
      <w:r w:rsidR="002442F6" w:rsidRPr="004F35E6">
        <w:rPr>
          <w:rFonts w:ascii="Arial" w:hAnsi="Arial" w:cs="Arial"/>
          <w:lang w:val="en-US"/>
        </w:rPr>
        <w:t xml:space="preserve">a number of </w:t>
      </w:r>
      <w:r w:rsidRPr="004F35E6">
        <w:rPr>
          <w:rFonts w:ascii="Arial" w:hAnsi="Arial" w:cs="Arial"/>
          <w:lang w:val="en-US"/>
        </w:rPr>
        <w:t>such measure</w:t>
      </w:r>
      <w:r w:rsidR="004775B9" w:rsidRPr="004F35E6">
        <w:rPr>
          <w:rFonts w:ascii="Arial" w:hAnsi="Arial" w:cs="Arial"/>
          <w:lang w:val="en-US"/>
        </w:rPr>
        <w:t xml:space="preserve">s has been challenged </w:t>
      </w:r>
      <w:r w:rsidR="0035763D" w:rsidRPr="004F35E6">
        <w:rPr>
          <w:rFonts w:ascii="Arial" w:hAnsi="Arial" w:cs="Arial"/>
          <w:lang w:val="en-US"/>
        </w:rPr>
        <w:t>by Members</w:t>
      </w:r>
      <w:r w:rsidR="00571CC9" w:rsidRPr="004F35E6">
        <w:rPr>
          <w:rFonts w:ascii="Arial" w:hAnsi="Arial" w:cs="Arial"/>
          <w:lang w:val="en-US"/>
        </w:rPr>
        <w:t xml:space="preserve"> on </w:t>
      </w:r>
      <w:r w:rsidR="00795C72" w:rsidRPr="004F35E6">
        <w:rPr>
          <w:rFonts w:ascii="Arial" w:hAnsi="Arial" w:cs="Arial"/>
          <w:lang w:val="en-US"/>
        </w:rPr>
        <w:t xml:space="preserve">the </w:t>
      </w:r>
      <w:r w:rsidR="00A15374" w:rsidRPr="004F35E6">
        <w:rPr>
          <w:rFonts w:ascii="Arial" w:hAnsi="Arial" w:cs="Arial"/>
          <w:lang w:val="en-US"/>
        </w:rPr>
        <w:t>grounds that they violate</w:t>
      </w:r>
      <w:r w:rsidR="00571CC9" w:rsidRPr="004F35E6">
        <w:rPr>
          <w:rFonts w:ascii="Arial" w:hAnsi="Arial" w:cs="Arial"/>
          <w:lang w:val="en-US"/>
        </w:rPr>
        <w:t xml:space="preserve"> Articles III.</w:t>
      </w:r>
      <w:r w:rsidR="006242F9" w:rsidRPr="004F35E6">
        <w:rPr>
          <w:rFonts w:ascii="Arial" w:hAnsi="Arial" w:cs="Arial"/>
          <w:lang w:val="en-US"/>
        </w:rPr>
        <w:t xml:space="preserve"> 4 </w:t>
      </w:r>
      <w:r w:rsidR="00571CC9" w:rsidRPr="004F35E6">
        <w:rPr>
          <w:rFonts w:ascii="Arial" w:hAnsi="Arial" w:cs="Arial"/>
          <w:lang w:val="en-US"/>
        </w:rPr>
        <w:t xml:space="preserve">of GATT 1994 </w:t>
      </w:r>
      <w:r w:rsidR="006242F9" w:rsidRPr="004F35E6">
        <w:rPr>
          <w:rFonts w:ascii="Arial" w:hAnsi="Arial" w:cs="Arial"/>
          <w:lang w:val="en-US"/>
        </w:rPr>
        <w:t xml:space="preserve">and </w:t>
      </w:r>
      <w:r w:rsidR="00070D66" w:rsidRPr="004F35E6">
        <w:rPr>
          <w:rFonts w:ascii="Arial" w:hAnsi="Arial" w:cs="Arial"/>
          <w:lang w:val="en-US"/>
        </w:rPr>
        <w:t>2.1</w:t>
      </w:r>
      <w:r w:rsidR="00104645" w:rsidRPr="004F35E6">
        <w:rPr>
          <w:rFonts w:ascii="Arial" w:hAnsi="Arial" w:cs="Arial"/>
          <w:lang w:val="en-US"/>
        </w:rPr>
        <w:t xml:space="preserve"> of </w:t>
      </w:r>
      <w:r w:rsidR="006242F9" w:rsidRPr="004F35E6">
        <w:rPr>
          <w:rFonts w:ascii="Arial" w:hAnsi="Arial" w:cs="Arial"/>
          <w:lang w:val="en-US"/>
        </w:rPr>
        <w:t>the TRIMs</w:t>
      </w:r>
      <w:r w:rsidR="00070D66" w:rsidRPr="004F35E6">
        <w:rPr>
          <w:rFonts w:ascii="Arial" w:hAnsi="Arial" w:cs="Arial"/>
          <w:lang w:val="en-US"/>
        </w:rPr>
        <w:t>.</w:t>
      </w:r>
    </w:p>
    <w:p w14:paraId="5A099098" w14:textId="77777777" w:rsidR="00F26D11" w:rsidRPr="004F35E6" w:rsidRDefault="00070D66" w:rsidP="004F35E6">
      <w:pPr>
        <w:spacing w:line="240" w:lineRule="auto"/>
        <w:jc w:val="both"/>
        <w:rPr>
          <w:rFonts w:ascii="Arial" w:hAnsi="Arial" w:cs="Arial"/>
          <w:lang w:val="en-US"/>
        </w:rPr>
      </w:pPr>
      <w:r w:rsidRPr="004F35E6">
        <w:rPr>
          <w:rFonts w:ascii="Arial" w:hAnsi="Arial" w:cs="Arial"/>
          <w:lang w:val="en-US"/>
        </w:rPr>
        <w:tab/>
        <w:t>In</w:t>
      </w:r>
      <w:r w:rsidR="004C73AF" w:rsidRPr="004F35E6">
        <w:rPr>
          <w:rFonts w:ascii="Arial" w:hAnsi="Arial" w:cs="Arial"/>
          <w:i/>
          <w:lang w:val="en-US"/>
        </w:rPr>
        <w:t xml:space="preserve"> Indonesia Autos</w:t>
      </w:r>
      <w:r w:rsidR="00F12AE3" w:rsidRPr="004F35E6">
        <w:rPr>
          <w:rStyle w:val="Refdenotaderodap"/>
          <w:rFonts w:ascii="Arial" w:hAnsi="Arial" w:cs="Arial"/>
          <w:lang w:val="en-US"/>
        </w:rPr>
        <w:footnoteReference w:id="16"/>
      </w:r>
      <w:r w:rsidR="00450538" w:rsidRPr="004F35E6">
        <w:rPr>
          <w:rFonts w:ascii="Arial" w:hAnsi="Arial" w:cs="Arial"/>
          <w:lang w:val="en-US"/>
        </w:rPr>
        <w:t>, the P</w:t>
      </w:r>
      <w:r w:rsidRPr="004F35E6">
        <w:rPr>
          <w:rFonts w:ascii="Arial" w:hAnsi="Arial" w:cs="Arial"/>
          <w:lang w:val="en-US"/>
        </w:rPr>
        <w:t>anel examined a series of measures enacted by the Indonesia</w:t>
      </w:r>
      <w:r w:rsidR="00A15374" w:rsidRPr="004F35E6">
        <w:rPr>
          <w:rFonts w:ascii="Arial" w:hAnsi="Arial" w:cs="Arial"/>
          <w:lang w:val="en-US"/>
        </w:rPr>
        <w:t>n</w:t>
      </w:r>
      <w:r w:rsidRPr="004F35E6">
        <w:rPr>
          <w:rFonts w:ascii="Arial" w:hAnsi="Arial" w:cs="Arial"/>
          <w:lang w:val="en-US"/>
        </w:rPr>
        <w:t xml:space="preserve"> government </w:t>
      </w:r>
      <w:r w:rsidR="00147636" w:rsidRPr="004F35E6">
        <w:rPr>
          <w:rFonts w:ascii="Arial" w:hAnsi="Arial" w:cs="Arial"/>
          <w:lang w:val="en-US"/>
        </w:rPr>
        <w:t xml:space="preserve">aimed at providing comparative advantages to domestic automobile company and stimulating foreign companies to assemble vehicles </w:t>
      </w:r>
      <w:r w:rsidR="00B048FC" w:rsidRPr="004F35E6">
        <w:rPr>
          <w:rFonts w:ascii="Arial" w:hAnsi="Arial" w:cs="Arial"/>
          <w:lang w:val="en-US"/>
        </w:rPr>
        <w:t>in the country by means of local production of parts and components.</w:t>
      </w:r>
      <w:r w:rsidR="00147636" w:rsidRPr="004F35E6">
        <w:rPr>
          <w:rFonts w:ascii="Arial" w:hAnsi="Arial" w:cs="Arial"/>
          <w:lang w:val="en-US"/>
        </w:rPr>
        <w:t xml:space="preserve"> </w:t>
      </w:r>
      <w:r w:rsidR="00571CC9" w:rsidRPr="004F35E6">
        <w:rPr>
          <w:rFonts w:ascii="Arial" w:hAnsi="Arial" w:cs="Arial"/>
          <w:lang w:val="en-US"/>
        </w:rPr>
        <w:t>One of the “</w:t>
      </w:r>
      <w:proofErr w:type="spellStart"/>
      <w:r w:rsidR="00571CC9" w:rsidRPr="004F35E6">
        <w:rPr>
          <w:rFonts w:ascii="Arial" w:hAnsi="Arial" w:cs="Arial"/>
          <w:lang w:val="en-US"/>
        </w:rPr>
        <w:t>Programmes</w:t>
      </w:r>
      <w:proofErr w:type="spellEnd"/>
      <w:r w:rsidR="00571CC9" w:rsidRPr="004F35E6">
        <w:rPr>
          <w:rFonts w:ascii="Arial" w:hAnsi="Arial" w:cs="Arial"/>
          <w:lang w:val="en-US"/>
        </w:rPr>
        <w:t>”</w:t>
      </w:r>
      <w:r w:rsidR="00147636" w:rsidRPr="004F35E6">
        <w:rPr>
          <w:rFonts w:ascii="Arial" w:hAnsi="Arial" w:cs="Arial"/>
          <w:lang w:val="en-US"/>
        </w:rPr>
        <w:t xml:space="preserve"> provided import duty reductions or exemptions on imports of automotive parts based on the local content percent</w:t>
      </w:r>
      <w:r w:rsidR="00B048FC" w:rsidRPr="004F35E6">
        <w:rPr>
          <w:rFonts w:ascii="Arial" w:hAnsi="Arial" w:cs="Arial"/>
          <w:lang w:val="en-US"/>
        </w:rPr>
        <w:t>. If the local content of a passenger car were lower than 20%, the importer would pay an import duty of 100% on the imported parts and so on up to the exemption</w:t>
      </w:r>
      <w:r w:rsidR="00C50F13" w:rsidRPr="004F35E6">
        <w:rPr>
          <w:rFonts w:ascii="Arial" w:hAnsi="Arial" w:cs="Arial"/>
          <w:lang w:val="en-US"/>
        </w:rPr>
        <w:t xml:space="preserve"> when the local content rate achieved 60%.  The </w:t>
      </w:r>
      <w:r w:rsidR="00A15374" w:rsidRPr="004F35E6">
        <w:rPr>
          <w:rFonts w:ascii="Arial" w:hAnsi="Arial" w:cs="Arial"/>
          <w:lang w:val="en-US"/>
        </w:rPr>
        <w:t>P</w:t>
      </w:r>
      <w:r w:rsidR="00592754" w:rsidRPr="004F35E6">
        <w:rPr>
          <w:rFonts w:ascii="Arial" w:hAnsi="Arial" w:cs="Arial"/>
          <w:lang w:val="en-US"/>
        </w:rPr>
        <w:t>anel</w:t>
      </w:r>
      <w:r w:rsidR="00F26D11" w:rsidRPr="004F35E6">
        <w:rPr>
          <w:rFonts w:ascii="Arial" w:hAnsi="Arial" w:cs="Arial"/>
          <w:lang w:val="en-US"/>
        </w:rPr>
        <w:t xml:space="preserve"> found that those measures were inconsistent with Article 2.1 of the TRIMS:</w:t>
      </w:r>
      <w:r w:rsidR="00592754" w:rsidRPr="004F35E6">
        <w:rPr>
          <w:rFonts w:ascii="Arial" w:hAnsi="Arial" w:cs="Arial"/>
          <w:lang w:val="en-US"/>
        </w:rPr>
        <w:t xml:space="preserve"> </w:t>
      </w:r>
    </w:p>
    <w:p w14:paraId="3BFD01D8" w14:textId="77777777" w:rsidR="0040331A" w:rsidRPr="0035763D" w:rsidRDefault="00592754" w:rsidP="004F35E6">
      <w:pPr>
        <w:spacing w:line="240" w:lineRule="auto"/>
        <w:ind w:left="2268"/>
        <w:jc w:val="both"/>
        <w:rPr>
          <w:rFonts w:ascii="Arial" w:hAnsi="Arial" w:cs="Arial"/>
          <w:sz w:val="20"/>
          <w:szCs w:val="20"/>
          <w:lang w:val="en-US"/>
        </w:rPr>
      </w:pPr>
      <w:r w:rsidRPr="0035763D">
        <w:rPr>
          <w:rFonts w:ascii="Arial" w:hAnsi="Arial" w:cs="Arial"/>
          <w:sz w:val="20"/>
          <w:szCs w:val="20"/>
          <w:lang w:val="en-US"/>
        </w:rPr>
        <w:t>“</w:t>
      </w:r>
      <w:r w:rsidRPr="0035763D">
        <w:rPr>
          <w:rFonts w:ascii="Arial" w:hAnsi="Arial" w:cs="Arial"/>
          <w:sz w:val="20"/>
          <w:szCs w:val="20"/>
          <w:lang w:val="en-US" w:eastAsia="pt-BR"/>
        </w:rPr>
        <w:t xml:space="preserve">14.91 We thus find that the tax and tariff benefits contingent on meeting local requirements under these car </w:t>
      </w:r>
      <w:proofErr w:type="spellStart"/>
      <w:r w:rsidRPr="0035763D">
        <w:rPr>
          <w:rFonts w:ascii="Arial" w:hAnsi="Arial" w:cs="Arial"/>
          <w:sz w:val="20"/>
          <w:szCs w:val="20"/>
          <w:lang w:val="en-US" w:eastAsia="pt-BR"/>
        </w:rPr>
        <w:t>programmes</w:t>
      </w:r>
      <w:proofErr w:type="spellEnd"/>
      <w:r w:rsidRPr="0035763D">
        <w:rPr>
          <w:rFonts w:ascii="Arial" w:hAnsi="Arial" w:cs="Arial"/>
          <w:sz w:val="20"/>
          <w:szCs w:val="20"/>
          <w:lang w:val="en-US" w:eastAsia="pt-BR"/>
        </w:rPr>
        <w:t xml:space="preserve"> constitute “advantages”. Given this and our earlier analysis of whether these local content requirements are TRIMs and covered by the Illustrative List annexed to the TRIMs Agreement, we further find that they are in violation of Article 2.1 of the TRIMs Agreement</w:t>
      </w:r>
      <w:r w:rsidR="00224A19" w:rsidRPr="0035763D">
        <w:rPr>
          <w:rFonts w:ascii="Arial" w:hAnsi="Arial" w:cs="Arial"/>
          <w:sz w:val="20"/>
          <w:szCs w:val="20"/>
          <w:lang w:val="en-US" w:eastAsia="pt-BR"/>
        </w:rPr>
        <w:t>”</w:t>
      </w:r>
      <w:r w:rsidRPr="0035763D">
        <w:rPr>
          <w:rFonts w:ascii="Arial" w:hAnsi="Arial" w:cs="Arial"/>
          <w:sz w:val="20"/>
          <w:szCs w:val="20"/>
          <w:lang w:val="en-US" w:eastAsia="pt-BR"/>
        </w:rPr>
        <w:t xml:space="preserve">. </w:t>
      </w:r>
    </w:p>
    <w:p w14:paraId="743C8126" w14:textId="77777777" w:rsidR="00E4353D" w:rsidRPr="0035763D" w:rsidRDefault="00792510" w:rsidP="004F35E6">
      <w:pPr>
        <w:spacing w:line="240" w:lineRule="auto"/>
        <w:jc w:val="both"/>
        <w:rPr>
          <w:rFonts w:ascii="Arial" w:hAnsi="Arial" w:cs="Arial"/>
          <w:b/>
          <w:lang w:val="en-US"/>
        </w:rPr>
      </w:pPr>
      <w:r w:rsidRPr="0035763D">
        <w:rPr>
          <w:rFonts w:ascii="Arial" w:hAnsi="Arial" w:cs="Arial"/>
          <w:b/>
          <w:lang w:val="en-US"/>
        </w:rPr>
        <w:tab/>
      </w:r>
    </w:p>
    <w:p w14:paraId="50338C29" w14:textId="77777777" w:rsidR="002442F6" w:rsidRPr="004F35E6" w:rsidRDefault="00E4353D" w:rsidP="004F35E6">
      <w:pPr>
        <w:spacing w:line="240" w:lineRule="auto"/>
        <w:jc w:val="both"/>
        <w:rPr>
          <w:rFonts w:ascii="Arial" w:hAnsi="Arial" w:cs="Arial"/>
          <w:lang w:val="en-US"/>
        </w:rPr>
      </w:pPr>
      <w:r w:rsidRPr="004F35E6">
        <w:rPr>
          <w:rFonts w:ascii="Arial" w:hAnsi="Arial" w:cs="Arial"/>
          <w:b/>
          <w:lang w:val="en-US"/>
        </w:rPr>
        <w:tab/>
      </w:r>
      <w:r w:rsidR="00792510" w:rsidRPr="004F35E6">
        <w:rPr>
          <w:rFonts w:ascii="Arial" w:hAnsi="Arial" w:cs="Arial"/>
          <w:i/>
          <w:lang w:val="en-US"/>
        </w:rPr>
        <w:t xml:space="preserve">In Canada </w:t>
      </w:r>
      <w:r w:rsidR="001563FF" w:rsidRPr="004F35E6">
        <w:rPr>
          <w:rFonts w:ascii="Arial" w:hAnsi="Arial" w:cs="Arial"/>
          <w:i/>
          <w:lang w:val="en-US"/>
        </w:rPr>
        <w:t>–</w:t>
      </w:r>
      <w:r w:rsidR="00792510" w:rsidRPr="004F35E6">
        <w:rPr>
          <w:rFonts w:ascii="Arial" w:hAnsi="Arial" w:cs="Arial"/>
          <w:i/>
          <w:lang w:val="en-US"/>
        </w:rPr>
        <w:t xml:space="preserve"> Autos</w:t>
      </w:r>
      <w:r w:rsidR="0046089C" w:rsidRPr="004F35E6">
        <w:rPr>
          <w:rStyle w:val="Refdenotaderodap"/>
          <w:rFonts w:ascii="Arial" w:hAnsi="Arial" w:cs="Arial"/>
          <w:i/>
          <w:lang w:val="en-US"/>
        </w:rPr>
        <w:footnoteReference w:id="17"/>
      </w:r>
      <w:r w:rsidR="0086287F" w:rsidRPr="004F35E6">
        <w:rPr>
          <w:rFonts w:ascii="Arial" w:hAnsi="Arial" w:cs="Arial"/>
          <w:lang w:val="en-US"/>
        </w:rPr>
        <w:t>,</w:t>
      </w:r>
      <w:r w:rsidR="001563FF" w:rsidRPr="004F35E6">
        <w:rPr>
          <w:rFonts w:ascii="Arial" w:hAnsi="Arial" w:cs="Arial"/>
          <w:lang w:val="en-US"/>
        </w:rPr>
        <w:t xml:space="preserve"> the Canadian government granted to</w:t>
      </w:r>
      <w:r w:rsidR="0086287F" w:rsidRPr="004F35E6">
        <w:rPr>
          <w:rFonts w:ascii="Arial" w:hAnsi="Arial" w:cs="Arial"/>
          <w:lang w:val="en-US"/>
        </w:rPr>
        <w:t xml:space="preserve"> certain producers of automobiles</w:t>
      </w:r>
      <w:r w:rsidR="001563FF" w:rsidRPr="004F35E6">
        <w:rPr>
          <w:rFonts w:ascii="Arial" w:hAnsi="Arial" w:cs="Arial"/>
          <w:lang w:val="en-US"/>
        </w:rPr>
        <w:t>, buses and commercial vehicles the right to import</w:t>
      </w:r>
      <w:r w:rsidR="0086287F" w:rsidRPr="004F35E6">
        <w:rPr>
          <w:rFonts w:ascii="Arial" w:hAnsi="Arial" w:cs="Arial"/>
          <w:lang w:val="en-US"/>
        </w:rPr>
        <w:t xml:space="preserve"> vehicles without import duties. In order to be eligible for such an exemption, domestic vehicles producers, including in certain cases the production of parts</w:t>
      </w:r>
      <w:r w:rsidR="00056072" w:rsidRPr="004F35E6">
        <w:rPr>
          <w:rFonts w:ascii="Arial" w:hAnsi="Arial" w:cs="Arial"/>
          <w:lang w:val="en-US"/>
        </w:rPr>
        <w:t>,</w:t>
      </w:r>
      <w:r w:rsidR="0086287F" w:rsidRPr="004F35E6">
        <w:rPr>
          <w:rFonts w:ascii="Arial" w:hAnsi="Arial" w:cs="Arial"/>
          <w:lang w:val="en-US"/>
        </w:rPr>
        <w:t xml:space="preserve"> s</w:t>
      </w:r>
      <w:r w:rsidR="00CE2C70" w:rsidRPr="004F35E6">
        <w:rPr>
          <w:rFonts w:ascii="Arial" w:hAnsi="Arial" w:cs="Arial"/>
          <w:lang w:val="en-US"/>
        </w:rPr>
        <w:t>hould meet</w:t>
      </w:r>
      <w:r w:rsidR="0086287F" w:rsidRPr="004F35E6">
        <w:rPr>
          <w:rFonts w:ascii="Arial" w:hAnsi="Arial" w:cs="Arial"/>
          <w:lang w:val="en-US"/>
        </w:rPr>
        <w:t xml:space="preserve"> a minimum amount of domestic added value (CVA requirements).</w:t>
      </w:r>
      <w:r w:rsidR="00056072" w:rsidRPr="004F35E6">
        <w:rPr>
          <w:rFonts w:ascii="Arial" w:hAnsi="Arial" w:cs="Arial"/>
          <w:lang w:val="en-US"/>
        </w:rPr>
        <w:t xml:space="preserve"> The AB found that such requirements were inconsistent with Article III. 4 of GATT 1994: </w:t>
      </w:r>
    </w:p>
    <w:p w14:paraId="6494D663" w14:textId="77777777" w:rsidR="00D469AA" w:rsidRPr="005A0E45" w:rsidRDefault="00056072" w:rsidP="004F35E6">
      <w:pPr>
        <w:spacing w:line="240" w:lineRule="auto"/>
        <w:ind w:left="2268"/>
        <w:jc w:val="both"/>
        <w:rPr>
          <w:rFonts w:ascii="Arial" w:hAnsi="Arial" w:cs="Arial"/>
          <w:sz w:val="20"/>
          <w:szCs w:val="20"/>
          <w:lang w:val="en-US"/>
        </w:rPr>
      </w:pPr>
      <w:r w:rsidRPr="005A0E45">
        <w:rPr>
          <w:rFonts w:ascii="Arial" w:hAnsi="Arial" w:cs="Arial"/>
          <w:sz w:val="20"/>
          <w:szCs w:val="20"/>
          <w:lang w:val="en-US"/>
        </w:rPr>
        <w:t>“</w:t>
      </w:r>
      <w:r w:rsidR="001563FF" w:rsidRPr="005A0E45">
        <w:rPr>
          <w:rFonts w:ascii="Arial" w:hAnsi="Arial" w:cs="Arial"/>
          <w:sz w:val="20"/>
          <w:szCs w:val="20"/>
          <w:lang w:val="en-US"/>
        </w:rPr>
        <w:t>10.85</w:t>
      </w:r>
      <w:r w:rsidRPr="005A0E45">
        <w:rPr>
          <w:rFonts w:ascii="Arial" w:hAnsi="Arial" w:cs="Arial"/>
          <w:sz w:val="20"/>
          <w:szCs w:val="20"/>
          <w:lang w:val="en-US"/>
        </w:rPr>
        <w:t>…</w:t>
      </w:r>
      <w:r w:rsidR="001563FF" w:rsidRPr="005A0E45">
        <w:rPr>
          <w:rFonts w:ascii="Arial" w:hAnsi="Arial" w:cs="Arial"/>
          <w:sz w:val="20"/>
          <w:szCs w:val="20"/>
          <w:lang w:val="en-US"/>
        </w:rPr>
        <w:t xml:space="preserve"> We further consider that the CVA requirements accord less </w:t>
      </w:r>
      <w:proofErr w:type="spellStart"/>
      <w:r w:rsidR="001563FF" w:rsidRPr="005A0E45">
        <w:rPr>
          <w:rFonts w:ascii="Arial" w:hAnsi="Arial" w:cs="Arial"/>
          <w:sz w:val="20"/>
          <w:szCs w:val="20"/>
          <w:lang w:val="en-US"/>
        </w:rPr>
        <w:t>favourable</w:t>
      </w:r>
      <w:proofErr w:type="spellEnd"/>
      <w:r w:rsidR="001563FF" w:rsidRPr="005A0E45">
        <w:rPr>
          <w:rFonts w:ascii="Arial" w:hAnsi="Arial" w:cs="Arial"/>
          <w:sz w:val="20"/>
          <w:szCs w:val="20"/>
          <w:lang w:val="en-US"/>
        </w:rPr>
        <w:t xml:space="preserve"> treatment within the meaning of Article III:4 to imported</w:t>
      </w:r>
      <w:r w:rsidR="001563FF" w:rsidRPr="001E5C51">
        <w:rPr>
          <w:rFonts w:ascii="Arial" w:hAnsi="Arial" w:cs="Arial"/>
          <w:i/>
          <w:sz w:val="20"/>
          <w:szCs w:val="20"/>
          <w:lang w:val="en-US"/>
        </w:rPr>
        <w:t xml:space="preserve"> </w:t>
      </w:r>
      <w:r w:rsidR="001563FF" w:rsidRPr="005A0E45">
        <w:rPr>
          <w:rFonts w:ascii="Arial" w:hAnsi="Arial" w:cs="Arial"/>
          <w:sz w:val="20"/>
          <w:szCs w:val="20"/>
          <w:lang w:val="en-US"/>
        </w:rPr>
        <w:t>parts, materials and non-permanent equipment than to like domestic products because, by conferring an advantage upon the use of domestic products but not upon the use of imported products, they adversely affect the equality of competitive opportunities of imported products in relation to like domestic products”</w:t>
      </w:r>
      <w:r w:rsidR="00224A19" w:rsidRPr="005A0E45">
        <w:rPr>
          <w:rFonts w:ascii="Arial" w:hAnsi="Arial" w:cs="Arial"/>
          <w:sz w:val="20"/>
          <w:szCs w:val="20"/>
          <w:lang w:val="en-US"/>
        </w:rPr>
        <w:t>.</w:t>
      </w:r>
      <w:r w:rsidR="00571CC9" w:rsidRPr="005A0E45">
        <w:rPr>
          <w:rFonts w:ascii="Arial" w:hAnsi="Arial" w:cs="Arial"/>
          <w:sz w:val="20"/>
          <w:szCs w:val="20"/>
          <w:lang w:val="en-US"/>
        </w:rPr>
        <w:tab/>
      </w:r>
    </w:p>
    <w:p w14:paraId="3CF17778" w14:textId="77777777" w:rsidR="00CE2C70" w:rsidRPr="005A0E45" w:rsidRDefault="009F6386" w:rsidP="004F35E6">
      <w:pPr>
        <w:spacing w:line="240" w:lineRule="auto"/>
        <w:jc w:val="both"/>
        <w:rPr>
          <w:rFonts w:ascii="Arial" w:hAnsi="Arial" w:cs="Arial"/>
          <w:lang w:val="en-US"/>
        </w:rPr>
      </w:pPr>
      <w:r w:rsidRPr="005A0E45">
        <w:rPr>
          <w:rFonts w:ascii="Arial" w:hAnsi="Arial" w:cs="Arial"/>
          <w:lang w:val="en-US"/>
        </w:rPr>
        <w:tab/>
      </w:r>
    </w:p>
    <w:p w14:paraId="168118D4" w14:textId="77777777" w:rsidR="001939A2" w:rsidRPr="004F35E6" w:rsidRDefault="00E4353D" w:rsidP="004F35E6">
      <w:pPr>
        <w:spacing w:line="240" w:lineRule="auto"/>
        <w:jc w:val="both"/>
        <w:rPr>
          <w:rFonts w:ascii="Arial" w:hAnsi="Arial" w:cs="Arial"/>
          <w:lang w:val="en-US"/>
        </w:rPr>
      </w:pPr>
      <w:r w:rsidRPr="004F35E6">
        <w:rPr>
          <w:rFonts w:ascii="Arial" w:hAnsi="Arial" w:cs="Arial"/>
          <w:lang w:val="en-US"/>
        </w:rPr>
        <w:tab/>
      </w:r>
      <w:r w:rsidR="00022588" w:rsidRPr="004F35E6">
        <w:rPr>
          <w:rFonts w:ascii="Arial" w:hAnsi="Arial" w:cs="Arial"/>
          <w:lang w:val="en-US"/>
        </w:rPr>
        <w:t xml:space="preserve">In </w:t>
      </w:r>
      <w:r w:rsidR="00022588" w:rsidRPr="004F35E6">
        <w:rPr>
          <w:rFonts w:ascii="Arial" w:hAnsi="Arial" w:cs="Arial"/>
          <w:i/>
          <w:lang w:val="en-US"/>
        </w:rPr>
        <w:t>India – Autos</w:t>
      </w:r>
      <w:r w:rsidR="00022588" w:rsidRPr="004F35E6">
        <w:rPr>
          <w:rStyle w:val="Refdenotaderodap"/>
          <w:rFonts w:ascii="Arial" w:hAnsi="Arial" w:cs="Arial"/>
          <w:i/>
          <w:lang w:val="en-US"/>
        </w:rPr>
        <w:footnoteReference w:id="18"/>
      </w:r>
      <w:r w:rsidR="00D469AA" w:rsidRPr="004F35E6">
        <w:rPr>
          <w:rFonts w:ascii="Arial" w:hAnsi="Arial" w:cs="Arial"/>
          <w:lang w:val="en-US"/>
        </w:rPr>
        <w:t xml:space="preserve">, </w:t>
      </w:r>
      <w:r w:rsidR="001939A2" w:rsidRPr="004F35E6">
        <w:rPr>
          <w:rFonts w:ascii="Arial" w:hAnsi="Arial" w:cs="Arial"/>
          <w:lang w:val="en-US"/>
        </w:rPr>
        <w:t>car manufactures</w:t>
      </w:r>
      <w:r w:rsidR="00D469AA" w:rsidRPr="004F35E6">
        <w:rPr>
          <w:rFonts w:ascii="Arial" w:hAnsi="Arial" w:cs="Arial"/>
          <w:lang w:val="en-US"/>
        </w:rPr>
        <w:t xml:space="preserve"> were required by Indian Government to commit to achieving a level of local content components up to a minimum level of 50% in the third year or earlier and 70% in the fifth year or earlier, in order to obtain import licenses.</w:t>
      </w:r>
      <w:r w:rsidR="001939A2" w:rsidRPr="004F35E6">
        <w:rPr>
          <w:rFonts w:ascii="Arial" w:hAnsi="Arial" w:cs="Arial"/>
          <w:lang w:val="en-US"/>
        </w:rPr>
        <w:t xml:space="preserve"> To meet the local content requirement, car manufacturers were compelled to purchase Indian parts and components rather </w:t>
      </w:r>
      <w:r w:rsidR="008C101D" w:rsidRPr="004F35E6">
        <w:rPr>
          <w:rFonts w:ascii="Arial" w:hAnsi="Arial" w:cs="Arial"/>
          <w:lang w:val="en-US"/>
        </w:rPr>
        <w:t>than imported products. L</w:t>
      </w:r>
      <w:r w:rsidR="001939A2" w:rsidRPr="004F35E6">
        <w:rPr>
          <w:rFonts w:ascii="Arial" w:hAnsi="Arial" w:cs="Arial"/>
          <w:lang w:val="en-US"/>
        </w:rPr>
        <w:t>icense imports were used as a way of inducing those com</w:t>
      </w:r>
      <w:r w:rsidR="00C47743" w:rsidRPr="004F35E6">
        <w:rPr>
          <w:rFonts w:ascii="Arial" w:hAnsi="Arial" w:cs="Arial"/>
          <w:lang w:val="en-US"/>
        </w:rPr>
        <w:t>panies to meet LCRs. The Panel left no doubt as to the inconsistency of the local content requirement (</w:t>
      </w:r>
      <w:r w:rsidR="00C47743" w:rsidRPr="004F35E6">
        <w:rPr>
          <w:rFonts w:ascii="Arial" w:hAnsi="Arial" w:cs="Arial"/>
          <w:i/>
          <w:lang w:val="en-US"/>
        </w:rPr>
        <w:t>indigenization requirement</w:t>
      </w:r>
      <w:r w:rsidR="00C47743" w:rsidRPr="004F35E6">
        <w:rPr>
          <w:rFonts w:ascii="Arial" w:hAnsi="Arial" w:cs="Arial"/>
          <w:lang w:val="en-US"/>
        </w:rPr>
        <w:t>) with Article III. 4 of GATT 1994:</w:t>
      </w:r>
      <w:r w:rsidR="001939A2" w:rsidRPr="004F35E6">
        <w:rPr>
          <w:rFonts w:ascii="Arial" w:hAnsi="Arial" w:cs="Arial"/>
          <w:lang w:val="en-US"/>
        </w:rPr>
        <w:t xml:space="preserve"> </w:t>
      </w:r>
    </w:p>
    <w:p w14:paraId="71A23582" w14:textId="77777777" w:rsidR="001939A2" w:rsidRPr="005A0E45" w:rsidRDefault="001939A2" w:rsidP="004F35E6">
      <w:pPr>
        <w:spacing w:line="240" w:lineRule="auto"/>
        <w:ind w:left="2268"/>
        <w:jc w:val="both"/>
        <w:rPr>
          <w:rFonts w:ascii="Arial" w:hAnsi="Arial" w:cs="Arial"/>
          <w:sz w:val="20"/>
          <w:szCs w:val="20"/>
          <w:lang w:val="en-US"/>
        </w:rPr>
      </w:pPr>
      <w:r w:rsidRPr="005A0E45">
        <w:rPr>
          <w:rFonts w:ascii="Arial" w:hAnsi="Arial" w:cs="Arial"/>
          <w:sz w:val="20"/>
          <w:szCs w:val="20"/>
          <w:lang w:val="en-US"/>
        </w:rPr>
        <w:t>“</w:t>
      </w:r>
      <w:r w:rsidR="00C47743" w:rsidRPr="005A0E45">
        <w:rPr>
          <w:rFonts w:ascii="Arial" w:hAnsi="Arial" w:cs="Arial"/>
          <w:sz w:val="20"/>
          <w:szCs w:val="20"/>
          <w:lang w:val="en-US"/>
        </w:rPr>
        <w:t>7.202 S</w:t>
      </w:r>
      <w:r w:rsidR="009F6386" w:rsidRPr="005A0E45">
        <w:rPr>
          <w:rFonts w:ascii="Arial" w:hAnsi="Arial" w:cs="Arial"/>
          <w:sz w:val="20"/>
          <w:szCs w:val="20"/>
          <w:lang w:val="en-US"/>
        </w:rPr>
        <w:t>uc</w:t>
      </w:r>
      <w:r w:rsidR="00C47743" w:rsidRPr="005A0E45">
        <w:rPr>
          <w:rFonts w:ascii="Arial" w:hAnsi="Arial" w:cs="Arial"/>
          <w:sz w:val="20"/>
          <w:szCs w:val="20"/>
          <w:lang w:val="en-US"/>
        </w:rPr>
        <w:t>h</w:t>
      </w:r>
      <w:r w:rsidR="009F6386" w:rsidRPr="005A0E45">
        <w:rPr>
          <w:rFonts w:ascii="Arial" w:hAnsi="Arial" w:cs="Arial"/>
          <w:sz w:val="20"/>
          <w:szCs w:val="20"/>
          <w:lang w:val="en-US"/>
        </w:rPr>
        <w:t xml:space="preserve"> a requirement</w:t>
      </w:r>
      <w:r w:rsidRPr="005A0E45">
        <w:rPr>
          <w:rFonts w:ascii="Arial" w:hAnsi="Arial" w:cs="Arial"/>
          <w:sz w:val="20"/>
          <w:szCs w:val="20"/>
          <w:lang w:val="en-US"/>
        </w:rPr>
        <w:t xml:space="preserve"> </w:t>
      </w:r>
      <w:r w:rsidR="009F6386" w:rsidRPr="005A0E45">
        <w:rPr>
          <w:rFonts w:ascii="Arial" w:hAnsi="Arial" w:cs="Arial"/>
          <w:sz w:val="20"/>
          <w:szCs w:val="20"/>
          <w:lang w:val="en-US"/>
        </w:rPr>
        <w:t xml:space="preserve">clearly modifies the conditions of competition </w:t>
      </w:r>
      <w:r w:rsidR="00C47743" w:rsidRPr="005A0E45">
        <w:rPr>
          <w:rFonts w:ascii="Arial" w:hAnsi="Arial" w:cs="Arial"/>
          <w:sz w:val="20"/>
          <w:szCs w:val="20"/>
          <w:lang w:val="en-US"/>
        </w:rPr>
        <w:t>of</w:t>
      </w:r>
      <w:r w:rsidR="009F6386" w:rsidRPr="005A0E45">
        <w:rPr>
          <w:rFonts w:ascii="Arial" w:hAnsi="Arial" w:cs="Arial"/>
          <w:sz w:val="20"/>
          <w:szCs w:val="20"/>
          <w:lang w:val="en-US"/>
        </w:rPr>
        <w:t xml:space="preserve"> th</w:t>
      </w:r>
      <w:r w:rsidR="00C47743" w:rsidRPr="005A0E45">
        <w:rPr>
          <w:rFonts w:ascii="Arial" w:hAnsi="Arial" w:cs="Arial"/>
          <w:sz w:val="20"/>
          <w:szCs w:val="20"/>
          <w:lang w:val="en-US"/>
        </w:rPr>
        <w:t>e domestic and imported parts and components in</w:t>
      </w:r>
      <w:r w:rsidR="009F6386" w:rsidRPr="005A0E45">
        <w:rPr>
          <w:rFonts w:ascii="Arial" w:hAnsi="Arial" w:cs="Arial"/>
          <w:sz w:val="20"/>
          <w:szCs w:val="20"/>
          <w:lang w:val="en-US"/>
        </w:rPr>
        <w:t xml:space="preserve"> </w:t>
      </w:r>
      <w:proofErr w:type="spellStart"/>
      <w:r w:rsidR="009F6386" w:rsidRPr="005A0E45">
        <w:rPr>
          <w:rFonts w:ascii="Arial" w:hAnsi="Arial" w:cs="Arial"/>
          <w:sz w:val="20"/>
          <w:szCs w:val="20"/>
          <w:lang w:val="en-US"/>
        </w:rPr>
        <w:t>favour</w:t>
      </w:r>
      <w:proofErr w:type="spellEnd"/>
      <w:r w:rsidR="009F6386" w:rsidRPr="005A0E45">
        <w:rPr>
          <w:rFonts w:ascii="Arial" w:hAnsi="Arial" w:cs="Arial"/>
          <w:sz w:val="20"/>
          <w:szCs w:val="20"/>
          <w:lang w:val="en-US"/>
        </w:rPr>
        <w:t xml:space="preserve"> of domestic products</w:t>
      </w:r>
      <w:r w:rsidR="00C47743" w:rsidRPr="005A0E45">
        <w:rPr>
          <w:rFonts w:ascii="Arial" w:hAnsi="Arial" w:cs="Arial"/>
          <w:sz w:val="20"/>
          <w:szCs w:val="20"/>
          <w:lang w:val="en-US"/>
        </w:rPr>
        <w:t>. The Panel therefore finds that the indigenization requirement…, by requiring manufacturers to use specified percentages of parts and components</w:t>
      </w:r>
      <w:r w:rsidR="007904E4" w:rsidRPr="005A0E45">
        <w:rPr>
          <w:rFonts w:ascii="Arial" w:hAnsi="Arial" w:cs="Arial"/>
          <w:sz w:val="20"/>
          <w:szCs w:val="20"/>
          <w:lang w:val="en-US"/>
        </w:rPr>
        <w:t xml:space="preserve"> of domestic origin is a requirement affecting the internal sale of like imported products, and which affords these imported products less </w:t>
      </w:r>
      <w:proofErr w:type="spellStart"/>
      <w:r w:rsidR="007904E4" w:rsidRPr="005A0E45">
        <w:rPr>
          <w:rFonts w:ascii="Arial" w:hAnsi="Arial" w:cs="Arial"/>
          <w:sz w:val="20"/>
          <w:szCs w:val="20"/>
          <w:lang w:val="en-US"/>
        </w:rPr>
        <w:t>favourable</w:t>
      </w:r>
      <w:proofErr w:type="spellEnd"/>
      <w:r w:rsidR="007904E4" w:rsidRPr="005A0E45">
        <w:rPr>
          <w:rFonts w:ascii="Arial" w:hAnsi="Arial" w:cs="Arial"/>
          <w:sz w:val="20"/>
          <w:szCs w:val="20"/>
          <w:lang w:val="en-US"/>
        </w:rPr>
        <w:t xml:space="preserve"> treatment than that accorded to like products of national origin”</w:t>
      </w:r>
      <w:r w:rsidR="00224A19" w:rsidRPr="005A0E45">
        <w:rPr>
          <w:rFonts w:ascii="Arial" w:hAnsi="Arial" w:cs="Arial"/>
          <w:sz w:val="20"/>
          <w:szCs w:val="20"/>
          <w:lang w:val="en-US"/>
        </w:rPr>
        <w:t>.</w:t>
      </w:r>
    </w:p>
    <w:p w14:paraId="76EBBAC7" w14:textId="77777777" w:rsidR="00A15374" w:rsidRPr="00A31A4F" w:rsidRDefault="007904E4" w:rsidP="004F35E6">
      <w:pPr>
        <w:spacing w:line="240" w:lineRule="auto"/>
        <w:jc w:val="both"/>
        <w:rPr>
          <w:rFonts w:ascii="Arial" w:hAnsi="Arial" w:cs="Arial"/>
          <w:sz w:val="20"/>
          <w:szCs w:val="20"/>
          <w:lang w:val="en-US"/>
        </w:rPr>
      </w:pPr>
      <w:r w:rsidRPr="00A31A4F">
        <w:rPr>
          <w:rFonts w:ascii="Arial" w:hAnsi="Arial" w:cs="Arial"/>
          <w:sz w:val="20"/>
          <w:szCs w:val="20"/>
          <w:lang w:val="en-US"/>
        </w:rPr>
        <w:tab/>
      </w:r>
    </w:p>
    <w:p w14:paraId="4C695C8D" w14:textId="77777777" w:rsidR="007904E4" w:rsidRPr="00A31A4F" w:rsidRDefault="00A15374" w:rsidP="004F35E6">
      <w:pPr>
        <w:spacing w:line="240" w:lineRule="auto"/>
        <w:jc w:val="both"/>
        <w:rPr>
          <w:rFonts w:ascii="Arial" w:hAnsi="Arial" w:cs="Arial"/>
          <w:sz w:val="20"/>
          <w:szCs w:val="20"/>
          <w:lang w:val="en-US"/>
        </w:rPr>
      </w:pPr>
      <w:r w:rsidRPr="004F35E6">
        <w:rPr>
          <w:rFonts w:ascii="Arial" w:hAnsi="Arial" w:cs="Arial"/>
          <w:lang w:val="en-US"/>
        </w:rPr>
        <w:tab/>
      </w:r>
      <w:r w:rsidR="007904E4" w:rsidRPr="004F35E6">
        <w:rPr>
          <w:rFonts w:ascii="Arial" w:hAnsi="Arial" w:cs="Arial"/>
          <w:lang w:val="en-US"/>
        </w:rPr>
        <w:t>In</w:t>
      </w:r>
      <w:r w:rsidR="00BC533C" w:rsidRPr="004F35E6">
        <w:rPr>
          <w:rFonts w:ascii="Arial" w:hAnsi="Arial" w:cs="Arial"/>
          <w:lang w:val="en-US"/>
        </w:rPr>
        <w:t xml:space="preserve"> </w:t>
      </w:r>
      <w:r w:rsidR="00BC533C" w:rsidRPr="004F35E6">
        <w:rPr>
          <w:rFonts w:ascii="Arial" w:hAnsi="Arial" w:cs="Arial"/>
          <w:i/>
          <w:lang w:val="en-US"/>
        </w:rPr>
        <w:t>China – Auto Parts</w:t>
      </w:r>
      <w:r w:rsidR="007904E4" w:rsidRPr="004F35E6">
        <w:rPr>
          <w:rStyle w:val="Refdenotaderodap"/>
          <w:rFonts w:ascii="Arial" w:hAnsi="Arial" w:cs="Arial"/>
          <w:i/>
          <w:lang w:val="en-US"/>
        </w:rPr>
        <w:footnoteReference w:id="19"/>
      </w:r>
      <w:r w:rsidR="00BC533C" w:rsidRPr="004F35E6">
        <w:rPr>
          <w:rFonts w:ascii="Arial" w:hAnsi="Arial" w:cs="Arial"/>
          <w:lang w:val="en-US"/>
        </w:rPr>
        <w:t xml:space="preserve">, </w:t>
      </w:r>
      <w:r w:rsidR="00720306" w:rsidRPr="004F35E6">
        <w:rPr>
          <w:rFonts w:ascii="Arial" w:hAnsi="Arial" w:cs="Arial"/>
          <w:lang w:val="en-US"/>
        </w:rPr>
        <w:t>measures adopted by the Chinese government were not in compliance with its obligations to open the domestic market, reduce tariffs and eliminate LCRs in the automobile sector. Such measures imposed</w:t>
      </w:r>
      <w:r w:rsidR="00116CD1" w:rsidRPr="004F35E6">
        <w:rPr>
          <w:rFonts w:ascii="Arial" w:hAnsi="Arial" w:cs="Arial"/>
          <w:lang w:val="en-US"/>
        </w:rPr>
        <w:t xml:space="preserve"> discriminatory domestic burdens on imported parts if vehicles manufactured in China that were to use them exceeded certain maximum limits of foreign content. Consequently, the cost of using foreign products</w:t>
      </w:r>
      <w:r w:rsidR="00E601DE" w:rsidRPr="004F35E6">
        <w:rPr>
          <w:rFonts w:ascii="Arial" w:hAnsi="Arial" w:cs="Arial"/>
          <w:lang w:val="en-US"/>
        </w:rPr>
        <w:t xml:space="preserve"> would be higher than like domestic products.</w:t>
      </w:r>
      <w:r w:rsidR="000630A5" w:rsidRPr="004F35E6">
        <w:rPr>
          <w:rFonts w:ascii="Arial" w:hAnsi="Arial" w:cs="Arial"/>
          <w:lang w:val="en-US"/>
        </w:rPr>
        <w:t xml:space="preserve"> The Panel took the view that those measures, coupled with certain administrative procedures, accord less </w:t>
      </w:r>
      <w:proofErr w:type="spellStart"/>
      <w:r w:rsidR="000630A5" w:rsidRPr="004F35E6">
        <w:rPr>
          <w:rFonts w:ascii="Arial" w:hAnsi="Arial" w:cs="Arial"/>
          <w:lang w:val="en-US"/>
        </w:rPr>
        <w:t>favourable</w:t>
      </w:r>
      <w:proofErr w:type="spellEnd"/>
      <w:r w:rsidR="000630A5" w:rsidRPr="004F35E6">
        <w:rPr>
          <w:rFonts w:ascii="Arial" w:hAnsi="Arial" w:cs="Arial"/>
          <w:lang w:val="en-US"/>
        </w:rPr>
        <w:t xml:space="preserve"> treatment to imported auto parts than to domestic auto parts. Additionally, the AB found that:</w:t>
      </w:r>
    </w:p>
    <w:p w14:paraId="01107B99" w14:textId="77777777" w:rsidR="000630A5" w:rsidRPr="005A0E45" w:rsidRDefault="000630A5" w:rsidP="004F35E6">
      <w:pPr>
        <w:spacing w:line="240" w:lineRule="auto"/>
        <w:ind w:left="2268"/>
        <w:jc w:val="both"/>
        <w:rPr>
          <w:rFonts w:ascii="Arial" w:hAnsi="Arial" w:cs="Arial"/>
          <w:sz w:val="20"/>
          <w:szCs w:val="20"/>
          <w:lang w:val="en-US"/>
        </w:rPr>
      </w:pPr>
      <w:r w:rsidRPr="005A0E45">
        <w:rPr>
          <w:rFonts w:ascii="Arial" w:hAnsi="Arial" w:cs="Arial"/>
          <w:sz w:val="20"/>
          <w:szCs w:val="20"/>
          <w:lang w:val="en-US"/>
        </w:rPr>
        <w:t>“195….the</w:t>
      </w:r>
      <w:r w:rsidR="00C87FD0" w:rsidRPr="005A0E45">
        <w:rPr>
          <w:rFonts w:ascii="Arial" w:hAnsi="Arial" w:cs="Arial"/>
          <w:sz w:val="20"/>
          <w:szCs w:val="20"/>
          <w:lang w:val="en-US"/>
        </w:rPr>
        <w:t xml:space="preserve"> </w:t>
      </w:r>
      <w:r w:rsidRPr="005A0E45">
        <w:rPr>
          <w:rFonts w:ascii="Arial" w:hAnsi="Arial" w:cs="Arial"/>
          <w:sz w:val="20"/>
          <w:szCs w:val="20"/>
          <w:lang w:val="en-US"/>
        </w:rPr>
        <w:t>measures at issue in this dispute impose administrative procedures, and associated delays, on automobile manufacturers using imported parts</w:t>
      </w:r>
      <w:r w:rsidR="00EF7E79" w:rsidRPr="005A0E45">
        <w:rPr>
          <w:rFonts w:ascii="Arial" w:hAnsi="Arial" w:cs="Arial"/>
          <w:sz w:val="20"/>
          <w:szCs w:val="20"/>
          <w:lang w:val="en-US"/>
        </w:rPr>
        <w:t>, which could be avoided entirely if a manufacturer were to use exclusively domestic auto parts. These incentives “affect” the conditions of competition for imported auto parts on the Chinese internal market”</w:t>
      </w:r>
      <w:r w:rsidR="00224A19" w:rsidRPr="005A0E45">
        <w:rPr>
          <w:rFonts w:ascii="Arial" w:hAnsi="Arial" w:cs="Arial"/>
          <w:sz w:val="20"/>
          <w:szCs w:val="20"/>
          <w:lang w:val="en-US"/>
        </w:rPr>
        <w:t>.</w:t>
      </w:r>
    </w:p>
    <w:p w14:paraId="70623F0C" w14:textId="77777777" w:rsidR="00E4353D" w:rsidRPr="005A0E45" w:rsidRDefault="00EF7E79" w:rsidP="004F35E6">
      <w:pPr>
        <w:spacing w:line="240" w:lineRule="auto"/>
        <w:jc w:val="both"/>
        <w:rPr>
          <w:rFonts w:ascii="Arial" w:hAnsi="Arial" w:cs="Arial"/>
          <w:lang w:val="en-US"/>
        </w:rPr>
      </w:pPr>
      <w:r w:rsidRPr="005A0E45">
        <w:rPr>
          <w:rFonts w:ascii="Arial" w:hAnsi="Arial" w:cs="Arial"/>
          <w:lang w:val="en-US"/>
        </w:rPr>
        <w:tab/>
      </w:r>
    </w:p>
    <w:p w14:paraId="04199E7C" w14:textId="77777777" w:rsidR="00EF7E79" w:rsidRPr="004F35E6" w:rsidRDefault="00E4353D" w:rsidP="004F35E6">
      <w:pPr>
        <w:spacing w:line="240" w:lineRule="auto"/>
        <w:jc w:val="both"/>
        <w:rPr>
          <w:rFonts w:ascii="Arial" w:hAnsi="Arial" w:cs="Arial"/>
          <w:lang w:val="en-US"/>
        </w:rPr>
      </w:pPr>
      <w:r w:rsidRPr="005A0E45">
        <w:rPr>
          <w:rFonts w:ascii="Arial" w:hAnsi="Arial" w:cs="Arial"/>
          <w:lang w:val="en-US"/>
        </w:rPr>
        <w:tab/>
      </w:r>
      <w:r w:rsidR="00EF7E79" w:rsidRPr="005A0E45">
        <w:rPr>
          <w:rFonts w:ascii="Arial" w:hAnsi="Arial" w:cs="Arial"/>
          <w:lang w:val="en-US"/>
        </w:rPr>
        <w:t>Both the Panel and the AB made clear that those measures were inconsistent</w:t>
      </w:r>
      <w:r w:rsidR="00EF7E79" w:rsidRPr="004F35E6">
        <w:rPr>
          <w:rFonts w:ascii="Arial" w:hAnsi="Arial" w:cs="Arial"/>
          <w:lang w:val="en-US"/>
        </w:rPr>
        <w:t xml:space="preserve"> with Articles III. 4 of GATT 1994 and 2.1 of the TRIMs.</w:t>
      </w:r>
    </w:p>
    <w:p w14:paraId="65E1A215" w14:textId="77777777" w:rsidR="00C67EDE" w:rsidRPr="004F35E6" w:rsidRDefault="00C87FD0" w:rsidP="004F35E6">
      <w:pPr>
        <w:spacing w:line="240" w:lineRule="auto"/>
        <w:jc w:val="both"/>
        <w:rPr>
          <w:rFonts w:ascii="Arial" w:hAnsi="Arial" w:cs="Arial"/>
          <w:lang w:val="en-US"/>
        </w:rPr>
      </w:pPr>
      <w:r w:rsidRPr="004F35E6">
        <w:rPr>
          <w:rFonts w:ascii="Arial" w:hAnsi="Arial" w:cs="Arial"/>
          <w:lang w:val="en-US"/>
        </w:rPr>
        <w:tab/>
        <w:t>All this case law demonstrates</w:t>
      </w:r>
      <w:r w:rsidR="00BC533C" w:rsidRPr="004F35E6">
        <w:rPr>
          <w:rFonts w:ascii="Arial" w:hAnsi="Arial" w:cs="Arial"/>
          <w:lang w:val="en-US"/>
        </w:rPr>
        <w:t xml:space="preserve"> the consistent, coheren</w:t>
      </w:r>
      <w:r w:rsidR="00CE2C70" w:rsidRPr="004F35E6">
        <w:rPr>
          <w:rFonts w:ascii="Arial" w:hAnsi="Arial" w:cs="Arial"/>
          <w:lang w:val="en-US"/>
        </w:rPr>
        <w:t>t and restrictive way both the P</w:t>
      </w:r>
      <w:r w:rsidR="00BC533C" w:rsidRPr="004F35E6">
        <w:rPr>
          <w:rFonts w:ascii="Arial" w:hAnsi="Arial" w:cs="Arial"/>
          <w:lang w:val="en-US"/>
        </w:rPr>
        <w:t>anel and the AB</w:t>
      </w:r>
      <w:r w:rsidR="00BC533C" w:rsidRPr="004F35E6">
        <w:rPr>
          <w:rFonts w:ascii="Arial" w:hAnsi="Arial" w:cs="Arial"/>
          <w:i/>
          <w:lang w:val="en-US"/>
        </w:rPr>
        <w:t xml:space="preserve"> </w:t>
      </w:r>
      <w:r w:rsidR="00BC533C" w:rsidRPr="004F35E6">
        <w:rPr>
          <w:rFonts w:ascii="Arial" w:hAnsi="Arial" w:cs="Arial"/>
          <w:lang w:val="en-US"/>
        </w:rPr>
        <w:t>have been condemning the use of LCRs</w:t>
      </w:r>
      <w:r w:rsidR="00762E76" w:rsidRPr="004F35E6">
        <w:rPr>
          <w:rFonts w:ascii="Arial" w:hAnsi="Arial" w:cs="Arial"/>
          <w:lang w:val="en-US"/>
        </w:rPr>
        <w:t>. Confronted with int</w:t>
      </w:r>
      <w:r w:rsidRPr="004F35E6">
        <w:rPr>
          <w:rFonts w:ascii="Arial" w:hAnsi="Arial" w:cs="Arial"/>
          <w:lang w:val="en-US"/>
        </w:rPr>
        <w:t>ricate and complex measures adopted by Members</w:t>
      </w:r>
      <w:r w:rsidR="00762E76" w:rsidRPr="004F35E6">
        <w:rPr>
          <w:rFonts w:ascii="Arial" w:hAnsi="Arial" w:cs="Arial"/>
          <w:lang w:val="en-US"/>
        </w:rPr>
        <w:t>, the WTO adjudicating bodies</w:t>
      </w:r>
      <w:r w:rsidR="001D4029" w:rsidRPr="004F35E6">
        <w:rPr>
          <w:rFonts w:ascii="Arial" w:hAnsi="Arial" w:cs="Arial"/>
          <w:lang w:val="en-US"/>
        </w:rPr>
        <w:t xml:space="preserve"> have sought to reestablish</w:t>
      </w:r>
      <w:r w:rsidR="006C265D" w:rsidRPr="004F35E6">
        <w:rPr>
          <w:rFonts w:ascii="Arial" w:hAnsi="Arial" w:cs="Arial"/>
          <w:lang w:val="en-US"/>
        </w:rPr>
        <w:t xml:space="preserve"> normal market conditions by making sure that discriminatory and distorting practices to competition</w:t>
      </w:r>
      <w:r w:rsidR="00B94D03" w:rsidRPr="004F35E6">
        <w:rPr>
          <w:rFonts w:ascii="Arial" w:hAnsi="Arial" w:cs="Arial"/>
          <w:lang w:val="en-US"/>
        </w:rPr>
        <w:t>, which generate insecurity and unpredictability to for</w:t>
      </w:r>
      <w:r w:rsidR="00B7317D" w:rsidRPr="004F35E6">
        <w:rPr>
          <w:rFonts w:ascii="Arial" w:hAnsi="Arial" w:cs="Arial"/>
          <w:lang w:val="en-US"/>
        </w:rPr>
        <w:t xml:space="preserve">eign investors, are </w:t>
      </w:r>
      <w:r w:rsidR="001C115A" w:rsidRPr="004F35E6">
        <w:rPr>
          <w:rFonts w:ascii="Arial" w:hAnsi="Arial" w:cs="Arial"/>
          <w:lang w:val="en-US"/>
        </w:rPr>
        <w:t xml:space="preserve">strongly </w:t>
      </w:r>
      <w:r w:rsidR="00B7317D" w:rsidRPr="004F35E6">
        <w:rPr>
          <w:rFonts w:ascii="Arial" w:hAnsi="Arial" w:cs="Arial"/>
          <w:lang w:val="en-US"/>
        </w:rPr>
        <w:t>discouraged.</w:t>
      </w:r>
      <w:r w:rsidR="00B94D03" w:rsidRPr="004F35E6">
        <w:rPr>
          <w:rFonts w:ascii="Arial" w:hAnsi="Arial" w:cs="Arial"/>
          <w:lang w:val="en-US"/>
        </w:rPr>
        <w:t xml:space="preserve"> </w:t>
      </w:r>
      <w:r w:rsidR="006C265D" w:rsidRPr="004F35E6">
        <w:rPr>
          <w:rFonts w:ascii="Arial" w:hAnsi="Arial" w:cs="Arial"/>
          <w:lang w:val="en-US"/>
        </w:rPr>
        <w:t xml:space="preserve"> </w:t>
      </w:r>
      <w:r w:rsidR="001D4029" w:rsidRPr="004F35E6">
        <w:rPr>
          <w:rFonts w:ascii="Arial" w:hAnsi="Arial" w:cs="Arial"/>
          <w:lang w:val="en-US"/>
        </w:rPr>
        <w:t>This results in a gradual reduction of Members’ policy space to implement certain industrial po</w:t>
      </w:r>
      <w:r w:rsidR="00105C54" w:rsidRPr="004F35E6">
        <w:rPr>
          <w:rFonts w:ascii="Arial" w:hAnsi="Arial" w:cs="Arial"/>
          <w:lang w:val="en-US"/>
        </w:rPr>
        <w:t>licies, such</w:t>
      </w:r>
      <w:r w:rsidR="007D15FD" w:rsidRPr="004F35E6">
        <w:rPr>
          <w:rFonts w:ascii="Arial" w:hAnsi="Arial" w:cs="Arial"/>
          <w:lang w:val="en-US"/>
        </w:rPr>
        <w:t xml:space="preserve"> as the use of LCRs, whic</w:t>
      </w:r>
      <w:r w:rsidR="0091573A" w:rsidRPr="004F35E6">
        <w:rPr>
          <w:rFonts w:ascii="Arial" w:hAnsi="Arial" w:cs="Arial"/>
          <w:lang w:val="en-US"/>
        </w:rPr>
        <w:t xml:space="preserve">h </w:t>
      </w:r>
      <w:r w:rsidR="00B86805" w:rsidRPr="004F35E6">
        <w:rPr>
          <w:rFonts w:ascii="Arial" w:hAnsi="Arial" w:cs="Arial"/>
          <w:lang w:val="en-US"/>
        </w:rPr>
        <w:t>has</w:t>
      </w:r>
      <w:r w:rsidRPr="004F35E6">
        <w:rPr>
          <w:rFonts w:ascii="Arial" w:hAnsi="Arial" w:cs="Arial"/>
          <w:lang w:val="en-US"/>
        </w:rPr>
        <w:t xml:space="preserve"> led</w:t>
      </w:r>
      <w:r w:rsidR="00B86805" w:rsidRPr="004F35E6">
        <w:rPr>
          <w:rFonts w:ascii="Arial" w:hAnsi="Arial" w:cs="Arial"/>
          <w:lang w:val="en-US"/>
        </w:rPr>
        <w:t xml:space="preserve"> certain</w:t>
      </w:r>
      <w:r w:rsidR="001D4029" w:rsidRPr="004F35E6">
        <w:rPr>
          <w:rFonts w:ascii="Arial" w:hAnsi="Arial" w:cs="Arial"/>
          <w:lang w:val="en-US"/>
        </w:rPr>
        <w:t xml:space="preserve"> Memb</w:t>
      </w:r>
      <w:r w:rsidR="00FA6656" w:rsidRPr="004F35E6">
        <w:rPr>
          <w:rFonts w:ascii="Arial" w:hAnsi="Arial" w:cs="Arial"/>
          <w:lang w:val="en-US"/>
        </w:rPr>
        <w:t xml:space="preserve">ers </w:t>
      </w:r>
      <w:r w:rsidR="00105C54" w:rsidRPr="004F35E6">
        <w:rPr>
          <w:rFonts w:ascii="Arial" w:hAnsi="Arial" w:cs="Arial"/>
          <w:lang w:val="en-US"/>
        </w:rPr>
        <w:t>to</w:t>
      </w:r>
      <w:r w:rsidR="001D4029" w:rsidRPr="004F35E6">
        <w:rPr>
          <w:rFonts w:ascii="Arial" w:hAnsi="Arial" w:cs="Arial"/>
          <w:lang w:val="en-US"/>
        </w:rPr>
        <w:t xml:space="preserve"> reassess their industrial policies, as well as, if necessary</w:t>
      </w:r>
      <w:r w:rsidR="00A6316A" w:rsidRPr="004F35E6">
        <w:rPr>
          <w:rFonts w:ascii="Arial" w:hAnsi="Arial" w:cs="Arial"/>
          <w:lang w:val="en-US"/>
        </w:rPr>
        <w:t>, modify their investments and developin</w:t>
      </w:r>
      <w:r w:rsidR="00105C54" w:rsidRPr="004F35E6">
        <w:rPr>
          <w:rFonts w:ascii="Arial" w:hAnsi="Arial" w:cs="Arial"/>
          <w:lang w:val="en-US"/>
        </w:rPr>
        <w:t>g incentives regimes for</w:t>
      </w:r>
      <w:r w:rsidR="00A6316A" w:rsidRPr="004F35E6">
        <w:rPr>
          <w:rFonts w:ascii="Arial" w:hAnsi="Arial" w:cs="Arial"/>
          <w:lang w:val="en-US"/>
        </w:rPr>
        <w:t xml:space="preserve"> </w:t>
      </w:r>
      <w:r w:rsidR="00B86805" w:rsidRPr="004F35E6">
        <w:rPr>
          <w:rFonts w:ascii="Arial" w:hAnsi="Arial" w:cs="Arial"/>
          <w:lang w:val="en-US"/>
        </w:rPr>
        <w:t>specific</w:t>
      </w:r>
      <w:r w:rsidR="00A6316A" w:rsidRPr="004F35E6">
        <w:rPr>
          <w:rFonts w:ascii="Arial" w:hAnsi="Arial" w:cs="Arial"/>
          <w:lang w:val="en-US"/>
        </w:rPr>
        <w:t xml:space="preserve"> sectors of their economies.</w:t>
      </w:r>
    </w:p>
    <w:p w14:paraId="1C13F1D2" w14:textId="77777777" w:rsidR="002A4938" w:rsidRPr="00A31A4F" w:rsidRDefault="005C46EF" w:rsidP="004F35E6">
      <w:pPr>
        <w:spacing w:line="240" w:lineRule="auto"/>
        <w:jc w:val="both"/>
        <w:rPr>
          <w:rFonts w:ascii="Arial" w:hAnsi="Arial" w:cs="Arial"/>
          <w:b/>
          <w:sz w:val="24"/>
          <w:szCs w:val="24"/>
          <w:lang w:val="en-US"/>
        </w:rPr>
      </w:pPr>
      <w:r w:rsidRPr="00A31A4F">
        <w:rPr>
          <w:rFonts w:ascii="Arial" w:hAnsi="Arial" w:cs="Arial"/>
          <w:b/>
          <w:sz w:val="24"/>
          <w:szCs w:val="24"/>
          <w:lang w:val="en-US"/>
        </w:rPr>
        <w:t>6</w:t>
      </w:r>
      <w:r w:rsidR="00A31A4F" w:rsidRPr="00A31A4F">
        <w:rPr>
          <w:rFonts w:ascii="Arial" w:hAnsi="Arial" w:cs="Arial"/>
          <w:b/>
          <w:sz w:val="24"/>
          <w:szCs w:val="24"/>
          <w:lang w:val="en-US"/>
        </w:rPr>
        <w:tab/>
      </w:r>
      <w:r w:rsidRPr="00A31A4F">
        <w:rPr>
          <w:rFonts w:ascii="Arial" w:hAnsi="Arial" w:cs="Arial"/>
          <w:b/>
          <w:sz w:val="24"/>
          <w:szCs w:val="24"/>
          <w:lang w:val="en-US"/>
        </w:rPr>
        <w:t>Further and stricter restrictions to the use of LCRs</w:t>
      </w:r>
      <w:r w:rsidR="00C91CBB" w:rsidRPr="00A31A4F">
        <w:rPr>
          <w:rFonts w:ascii="Arial" w:hAnsi="Arial" w:cs="Arial"/>
          <w:b/>
          <w:sz w:val="24"/>
          <w:szCs w:val="24"/>
          <w:lang w:val="en-US"/>
        </w:rPr>
        <w:t>. The inadequacy of LCRs</w:t>
      </w:r>
    </w:p>
    <w:p w14:paraId="4430D83C" w14:textId="77777777" w:rsidR="003053C8" w:rsidRPr="004F35E6" w:rsidRDefault="00E4353D" w:rsidP="004F35E6">
      <w:pPr>
        <w:spacing w:after="0" w:line="240" w:lineRule="auto"/>
        <w:jc w:val="both"/>
        <w:rPr>
          <w:rFonts w:ascii="Arial" w:hAnsi="Arial" w:cs="Arial"/>
          <w:lang w:val="en-US"/>
        </w:rPr>
      </w:pPr>
      <w:r w:rsidRPr="004F35E6">
        <w:rPr>
          <w:rFonts w:ascii="Arial" w:hAnsi="Arial" w:cs="Arial"/>
          <w:lang w:val="en-US"/>
        </w:rPr>
        <w:tab/>
        <w:t>P</w:t>
      </w:r>
      <w:r w:rsidR="00DA747E" w:rsidRPr="004F35E6">
        <w:rPr>
          <w:rFonts w:ascii="Arial" w:hAnsi="Arial" w:cs="Arial"/>
          <w:lang w:val="en-US"/>
        </w:rPr>
        <w:t xml:space="preserve">anels and AB rulings in </w:t>
      </w:r>
      <w:r w:rsidR="0098478D" w:rsidRPr="004F35E6">
        <w:rPr>
          <w:rFonts w:ascii="Arial" w:hAnsi="Arial" w:cs="Arial"/>
          <w:i/>
          <w:lang w:val="en-US"/>
        </w:rPr>
        <w:t>Canada – Renewable Energy</w:t>
      </w:r>
      <w:r w:rsidR="007539AA" w:rsidRPr="004F35E6">
        <w:rPr>
          <w:rStyle w:val="Refdenotaderodap"/>
          <w:rFonts w:ascii="Arial" w:hAnsi="Arial" w:cs="Arial"/>
          <w:i/>
          <w:lang w:val="en-US"/>
        </w:rPr>
        <w:footnoteReference w:id="20"/>
      </w:r>
      <w:r w:rsidR="007539AA" w:rsidRPr="004F35E6">
        <w:rPr>
          <w:rFonts w:ascii="Arial" w:hAnsi="Arial" w:cs="Arial"/>
          <w:lang w:val="en-US"/>
        </w:rPr>
        <w:t xml:space="preserve"> </w:t>
      </w:r>
      <w:r w:rsidR="0098478D" w:rsidRPr="004F35E6">
        <w:rPr>
          <w:rFonts w:ascii="Arial" w:hAnsi="Arial" w:cs="Arial"/>
          <w:i/>
          <w:lang w:val="en-US"/>
        </w:rPr>
        <w:t xml:space="preserve"> </w:t>
      </w:r>
      <w:r w:rsidR="0098478D" w:rsidRPr="004F35E6">
        <w:rPr>
          <w:rFonts w:ascii="Arial" w:hAnsi="Arial" w:cs="Arial"/>
          <w:lang w:val="en-US"/>
        </w:rPr>
        <w:t xml:space="preserve">and </w:t>
      </w:r>
      <w:r w:rsidR="0098478D" w:rsidRPr="004F35E6">
        <w:rPr>
          <w:rFonts w:ascii="Arial" w:hAnsi="Arial" w:cs="Arial"/>
          <w:i/>
          <w:lang w:val="en-US"/>
        </w:rPr>
        <w:t>India – Solar Cells</w:t>
      </w:r>
      <w:r w:rsidR="00773CD0" w:rsidRPr="004F35E6">
        <w:rPr>
          <w:rStyle w:val="Refdenotaderodap"/>
          <w:rFonts w:ascii="Arial" w:hAnsi="Arial" w:cs="Arial"/>
          <w:i/>
          <w:lang w:val="en-US"/>
        </w:rPr>
        <w:footnoteReference w:id="21"/>
      </w:r>
      <w:r w:rsidR="00773CD0" w:rsidRPr="004F35E6">
        <w:rPr>
          <w:rFonts w:ascii="Arial" w:hAnsi="Arial" w:cs="Arial"/>
          <w:i/>
          <w:lang w:val="en-US"/>
        </w:rPr>
        <w:t xml:space="preserve"> </w:t>
      </w:r>
      <w:r w:rsidR="002333E8" w:rsidRPr="004F35E6">
        <w:rPr>
          <w:rFonts w:ascii="Arial" w:hAnsi="Arial" w:cs="Arial"/>
          <w:lang w:val="en-US"/>
        </w:rPr>
        <w:t>resulted in</w:t>
      </w:r>
      <w:r w:rsidR="0098478D" w:rsidRPr="004F35E6">
        <w:rPr>
          <w:rFonts w:ascii="Arial" w:hAnsi="Arial" w:cs="Arial"/>
          <w:lang w:val="en-US"/>
        </w:rPr>
        <w:t xml:space="preserve"> stricter restrictio</w:t>
      </w:r>
      <w:r w:rsidR="002E5C21" w:rsidRPr="004F35E6">
        <w:rPr>
          <w:rFonts w:ascii="Arial" w:hAnsi="Arial" w:cs="Arial"/>
          <w:lang w:val="en-US"/>
        </w:rPr>
        <w:t>ns on the scope of LCRs adoption</w:t>
      </w:r>
      <w:r w:rsidR="00657C1C" w:rsidRPr="004F35E6">
        <w:rPr>
          <w:rFonts w:ascii="Arial" w:hAnsi="Arial" w:cs="Arial"/>
          <w:lang w:val="en-US"/>
        </w:rPr>
        <w:t xml:space="preserve">, </w:t>
      </w:r>
      <w:r w:rsidR="0098478D" w:rsidRPr="004F35E6">
        <w:rPr>
          <w:rFonts w:ascii="Arial" w:hAnsi="Arial" w:cs="Arial"/>
          <w:lang w:val="en-US"/>
        </w:rPr>
        <w:t>which has raised</w:t>
      </w:r>
      <w:r w:rsidR="009D0017" w:rsidRPr="004F35E6">
        <w:rPr>
          <w:rFonts w:ascii="Arial" w:hAnsi="Arial" w:cs="Arial"/>
          <w:lang w:val="en-US"/>
        </w:rPr>
        <w:t xml:space="preserve"> heated discussions as they involved a crucial issue for the environmentally sustained development: the renewable energy.</w:t>
      </w:r>
      <w:r w:rsidR="003053C8" w:rsidRPr="004F35E6">
        <w:rPr>
          <w:rFonts w:ascii="Arial" w:hAnsi="Arial" w:cs="Arial"/>
          <w:lang w:val="en-US"/>
        </w:rPr>
        <w:t xml:space="preserve"> In both cases, the AB ruled that a measure inconsistent with Article</w:t>
      </w:r>
      <w:r w:rsidR="00952962" w:rsidRPr="004F35E6">
        <w:rPr>
          <w:rFonts w:ascii="Arial" w:hAnsi="Arial" w:cs="Arial"/>
          <w:lang w:val="en-US"/>
        </w:rPr>
        <w:t xml:space="preserve">s 2.1 and 2.2 of the TRIMs violates Article III. 4 </w:t>
      </w:r>
      <w:r w:rsidR="00665BCE" w:rsidRPr="004F35E6">
        <w:rPr>
          <w:rFonts w:ascii="Arial" w:hAnsi="Arial" w:cs="Arial"/>
          <w:lang w:val="en-US"/>
        </w:rPr>
        <w:t xml:space="preserve">of GATT 1994 </w:t>
      </w:r>
      <w:r w:rsidR="00952962" w:rsidRPr="004F35E6">
        <w:rPr>
          <w:rFonts w:ascii="Arial" w:hAnsi="Arial" w:cs="Arial"/>
          <w:lang w:val="en-US"/>
        </w:rPr>
        <w:t xml:space="preserve">even if it falls within the exemption of Article III. 8 (a). The allegation of Canada and </w:t>
      </w:r>
      <w:r w:rsidR="00587B6D" w:rsidRPr="004F35E6">
        <w:rPr>
          <w:rFonts w:ascii="Arial" w:hAnsi="Arial" w:cs="Arial"/>
          <w:lang w:val="en-US"/>
        </w:rPr>
        <w:t>India that their respective</w:t>
      </w:r>
      <w:r w:rsidR="00952962" w:rsidRPr="004F35E6">
        <w:rPr>
          <w:rFonts w:ascii="Arial" w:hAnsi="Arial" w:cs="Arial"/>
          <w:lang w:val="en-US"/>
        </w:rPr>
        <w:t xml:space="preserve"> measures</w:t>
      </w:r>
      <w:r w:rsidR="00587B6D" w:rsidRPr="004F35E6">
        <w:rPr>
          <w:rFonts w:ascii="Arial" w:hAnsi="Arial" w:cs="Arial"/>
          <w:lang w:val="en-US"/>
        </w:rPr>
        <w:t xml:space="preserve"> involving LCRs constituted</w:t>
      </w:r>
      <w:r w:rsidR="00952962" w:rsidRPr="004F35E6">
        <w:rPr>
          <w:rFonts w:ascii="Arial" w:hAnsi="Arial" w:cs="Arial"/>
          <w:lang w:val="en-US"/>
        </w:rPr>
        <w:t xml:space="preserve"> Government Procurement was rejected by the AB.</w:t>
      </w:r>
    </w:p>
    <w:p w14:paraId="20E4528F" w14:textId="77777777" w:rsidR="00E4353D" w:rsidRPr="004F35E6" w:rsidRDefault="000A73AD" w:rsidP="004F35E6">
      <w:pPr>
        <w:spacing w:after="0" w:line="240" w:lineRule="auto"/>
        <w:jc w:val="both"/>
        <w:rPr>
          <w:rFonts w:ascii="Arial" w:hAnsi="Arial" w:cs="Arial"/>
          <w:b/>
          <w:lang w:val="en-US"/>
        </w:rPr>
      </w:pPr>
      <w:r w:rsidRPr="004F35E6">
        <w:rPr>
          <w:rFonts w:ascii="Arial" w:hAnsi="Arial" w:cs="Arial"/>
          <w:b/>
          <w:lang w:val="en-US"/>
        </w:rPr>
        <w:tab/>
      </w:r>
    </w:p>
    <w:p w14:paraId="72400CD7" w14:textId="77777777" w:rsidR="005C75EE" w:rsidRPr="004F35E6" w:rsidRDefault="00E4353D" w:rsidP="004F35E6">
      <w:pPr>
        <w:spacing w:after="0" w:line="240" w:lineRule="auto"/>
        <w:jc w:val="both"/>
        <w:rPr>
          <w:rFonts w:ascii="Arial" w:hAnsi="Arial" w:cs="Arial"/>
          <w:lang w:val="en-US"/>
        </w:rPr>
      </w:pPr>
      <w:r w:rsidRPr="004F35E6">
        <w:rPr>
          <w:rFonts w:ascii="Arial" w:hAnsi="Arial" w:cs="Arial"/>
          <w:b/>
          <w:lang w:val="en-US"/>
        </w:rPr>
        <w:tab/>
      </w:r>
      <w:r w:rsidR="0091573A" w:rsidRPr="004F35E6">
        <w:rPr>
          <w:rFonts w:ascii="Arial" w:hAnsi="Arial" w:cs="Arial"/>
          <w:i/>
          <w:lang w:val="en-US"/>
        </w:rPr>
        <w:t>Canada – Renewable Energy</w:t>
      </w:r>
      <w:r w:rsidR="00587B6D" w:rsidRPr="004F35E6">
        <w:rPr>
          <w:rFonts w:ascii="Arial" w:hAnsi="Arial" w:cs="Arial"/>
          <w:lang w:val="en-US"/>
        </w:rPr>
        <w:t xml:space="preserve"> is</w:t>
      </w:r>
      <w:r w:rsidR="0091573A" w:rsidRPr="004F35E6">
        <w:rPr>
          <w:rFonts w:ascii="Arial" w:hAnsi="Arial" w:cs="Arial"/>
          <w:lang w:val="en-US"/>
        </w:rPr>
        <w:t xml:space="preserve"> one of the most complex cases involving LCRs. </w:t>
      </w:r>
      <w:r w:rsidR="0088266D">
        <w:rPr>
          <w:rFonts w:ascii="Arial" w:hAnsi="Arial" w:cs="Arial"/>
          <w:lang w:val="en-US"/>
        </w:rPr>
        <w:t>With a view</w:t>
      </w:r>
      <w:r w:rsidR="0091573A" w:rsidRPr="004F35E6">
        <w:rPr>
          <w:rFonts w:ascii="Arial" w:hAnsi="Arial" w:cs="Arial"/>
          <w:lang w:val="en-US"/>
        </w:rPr>
        <w:t xml:space="preserve"> to foster the development of renewable energy, such as wind and solar energy, the Canadian Government</w:t>
      </w:r>
      <w:r w:rsidR="00665BCE" w:rsidRPr="004F35E6">
        <w:rPr>
          <w:rFonts w:ascii="Arial" w:hAnsi="Arial" w:cs="Arial"/>
          <w:lang w:val="en-US"/>
        </w:rPr>
        <w:t>,</w:t>
      </w:r>
      <w:r w:rsidR="0091573A" w:rsidRPr="004F35E6">
        <w:rPr>
          <w:rFonts w:ascii="Arial" w:hAnsi="Arial" w:cs="Arial"/>
          <w:lang w:val="en-US"/>
        </w:rPr>
        <w:t xml:space="preserve"> through the FIT </w:t>
      </w:r>
      <w:proofErr w:type="spellStart"/>
      <w:r w:rsidR="0091573A" w:rsidRPr="004F35E6">
        <w:rPr>
          <w:rFonts w:ascii="Arial" w:hAnsi="Arial" w:cs="Arial"/>
          <w:lang w:val="en-US"/>
        </w:rPr>
        <w:t>Program</w:t>
      </w:r>
      <w:r w:rsidR="009415FA" w:rsidRPr="004F35E6">
        <w:rPr>
          <w:rFonts w:ascii="Arial" w:hAnsi="Arial" w:cs="Arial"/>
          <w:lang w:val="en-US"/>
        </w:rPr>
        <w:t>me</w:t>
      </w:r>
      <w:proofErr w:type="spellEnd"/>
      <w:r w:rsidR="00665BCE" w:rsidRPr="004F35E6">
        <w:rPr>
          <w:rFonts w:ascii="Arial" w:hAnsi="Arial" w:cs="Arial"/>
          <w:lang w:val="en-US"/>
        </w:rPr>
        <w:t>,</w:t>
      </w:r>
      <w:r w:rsidR="0091573A" w:rsidRPr="004F35E6">
        <w:rPr>
          <w:rFonts w:ascii="Arial" w:hAnsi="Arial" w:cs="Arial"/>
          <w:lang w:val="en-US"/>
        </w:rPr>
        <w:t xml:space="preserve"> conditio</w:t>
      </w:r>
      <w:r w:rsidR="00B76E5D" w:rsidRPr="004F35E6">
        <w:rPr>
          <w:rFonts w:ascii="Arial" w:hAnsi="Arial" w:cs="Arial"/>
          <w:lang w:val="en-US"/>
        </w:rPr>
        <w:t>ned the purchase of energy for</w:t>
      </w:r>
      <w:r w:rsidR="0091573A" w:rsidRPr="004F35E6">
        <w:rPr>
          <w:rFonts w:ascii="Arial" w:hAnsi="Arial" w:cs="Arial"/>
          <w:lang w:val="en-US"/>
        </w:rPr>
        <w:t xml:space="preserve"> perio</w:t>
      </w:r>
      <w:r w:rsidR="00B76E5D" w:rsidRPr="004F35E6">
        <w:rPr>
          <w:rFonts w:ascii="Arial" w:hAnsi="Arial" w:cs="Arial"/>
          <w:lang w:val="en-US"/>
        </w:rPr>
        <w:t xml:space="preserve">ds </w:t>
      </w:r>
      <w:r w:rsidR="00D176CA" w:rsidRPr="004F35E6">
        <w:rPr>
          <w:rFonts w:ascii="Arial" w:hAnsi="Arial" w:cs="Arial"/>
          <w:lang w:val="en-US"/>
        </w:rPr>
        <w:t>of 20</w:t>
      </w:r>
      <w:r w:rsidR="00B76E5D" w:rsidRPr="004F35E6">
        <w:rPr>
          <w:rFonts w:ascii="Arial" w:hAnsi="Arial" w:cs="Arial"/>
          <w:lang w:val="en-US"/>
        </w:rPr>
        <w:t xml:space="preserve"> or 40 years with a good return rate to generators of this energy, provided that they purchased</w:t>
      </w:r>
      <w:r w:rsidR="00C810D8" w:rsidRPr="004F35E6">
        <w:rPr>
          <w:rFonts w:ascii="Arial" w:hAnsi="Arial" w:cs="Arial"/>
          <w:lang w:val="en-US"/>
        </w:rPr>
        <w:t xml:space="preserve"> Canadian products for their facilities (</w:t>
      </w:r>
      <w:r w:rsidR="00C810D8" w:rsidRPr="004F35E6">
        <w:rPr>
          <w:rFonts w:ascii="Arial" w:hAnsi="Arial" w:cs="Arial"/>
          <w:i/>
          <w:lang w:val="en-US"/>
        </w:rPr>
        <w:t>Minimum Required Domestic Content Levels</w:t>
      </w:r>
      <w:r w:rsidR="00C810D8" w:rsidRPr="004F35E6">
        <w:rPr>
          <w:rFonts w:ascii="Arial" w:hAnsi="Arial" w:cs="Arial"/>
          <w:lang w:val="en-US"/>
        </w:rPr>
        <w:t>).</w:t>
      </w:r>
      <w:r w:rsidR="000E2941" w:rsidRPr="004F35E6">
        <w:rPr>
          <w:rFonts w:ascii="Arial" w:hAnsi="Arial" w:cs="Arial"/>
          <w:lang w:val="en-US"/>
        </w:rPr>
        <w:t xml:space="preserve"> The </w:t>
      </w:r>
      <w:r w:rsidR="005C75EE" w:rsidRPr="004F35E6">
        <w:rPr>
          <w:rFonts w:ascii="Arial" w:hAnsi="Arial" w:cs="Arial"/>
          <w:lang w:val="en-US"/>
        </w:rPr>
        <w:t>P</w:t>
      </w:r>
      <w:r w:rsidR="000E2941" w:rsidRPr="004F35E6">
        <w:rPr>
          <w:rFonts w:ascii="Arial" w:hAnsi="Arial" w:cs="Arial"/>
          <w:lang w:val="en-US"/>
        </w:rPr>
        <w:t>anel found that</w:t>
      </w:r>
      <w:r w:rsidR="00225C9B" w:rsidRPr="004F35E6">
        <w:rPr>
          <w:rFonts w:ascii="Arial" w:hAnsi="Arial" w:cs="Arial"/>
          <w:lang w:val="en-US"/>
        </w:rPr>
        <w:t xml:space="preserve"> the FIT </w:t>
      </w:r>
      <w:proofErr w:type="spellStart"/>
      <w:r w:rsidR="00225C9B" w:rsidRPr="004F35E6">
        <w:rPr>
          <w:rFonts w:ascii="Arial" w:hAnsi="Arial" w:cs="Arial"/>
          <w:lang w:val="en-US"/>
        </w:rPr>
        <w:t>Program</w:t>
      </w:r>
      <w:r w:rsidR="005C611F" w:rsidRPr="004F35E6">
        <w:rPr>
          <w:rFonts w:ascii="Arial" w:hAnsi="Arial" w:cs="Arial"/>
          <w:lang w:val="en-US"/>
        </w:rPr>
        <w:t>me</w:t>
      </w:r>
      <w:proofErr w:type="spellEnd"/>
      <w:r w:rsidR="005C611F" w:rsidRPr="004F35E6">
        <w:rPr>
          <w:rFonts w:ascii="Arial" w:hAnsi="Arial" w:cs="Arial"/>
          <w:lang w:val="en-US"/>
        </w:rPr>
        <w:t xml:space="preserve"> </w:t>
      </w:r>
      <w:r w:rsidR="00225C9B" w:rsidRPr="004F35E6">
        <w:rPr>
          <w:rFonts w:ascii="Arial" w:hAnsi="Arial" w:cs="Arial"/>
          <w:lang w:val="en-US"/>
        </w:rPr>
        <w:t>was inconsistent with</w:t>
      </w:r>
      <w:r w:rsidR="009415FA" w:rsidRPr="004F35E6">
        <w:rPr>
          <w:rFonts w:ascii="Arial" w:hAnsi="Arial" w:cs="Arial"/>
          <w:lang w:val="en-US"/>
        </w:rPr>
        <w:t xml:space="preserve"> Article 2.1 of the TRIMs and III. 4 </w:t>
      </w:r>
      <w:r w:rsidR="005C75EE" w:rsidRPr="004F35E6">
        <w:rPr>
          <w:rFonts w:ascii="Arial" w:hAnsi="Arial" w:cs="Arial"/>
          <w:lang w:val="en-US"/>
        </w:rPr>
        <w:t xml:space="preserve">of GATT 1994. </w:t>
      </w:r>
    </w:p>
    <w:p w14:paraId="1E398C98" w14:textId="77777777" w:rsidR="00E4353D" w:rsidRPr="004F35E6" w:rsidRDefault="005C75EE" w:rsidP="004F35E6">
      <w:pPr>
        <w:spacing w:after="0" w:line="240" w:lineRule="auto"/>
        <w:jc w:val="both"/>
        <w:rPr>
          <w:rFonts w:ascii="Arial" w:hAnsi="Arial" w:cs="Arial"/>
          <w:lang w:val="en-US"/>
        </w:rPr>
      </w:pPr>
      <w:r w:rsidRPr="004F35E6">
        <w:rPr>
          <w:rFonts w:ascii="Arial" w:hAnsi="Arial" w:cs="Arial"/>
          <w:lang w:val="en-US"/>
        </w:rPr>
        <w:tab/>
      </w:r>
    </w:p>
    <w:p w14:paraId="20D359B2" w14:textId="77777777" w:rsidR="00FA6656" w:rsidRPr="004F35E6" w:rsidRDefault="00E4353D" w:rsidP="004F35E6">
      <w:pPr>
        <w:spacing w:after="0" w:line="240" w:lineRule="auto"/>
        <w:jc w:val="both"/>
        <w:rPr>
          <w:rFonts w:ascii="Arial" w:hAnsi="Arial" w:cs="Arial"/>
          <w:lang w:val="en-US"/>
        </w:rPr>
      </w:pPr>
      <w:r w:rsidRPr="004F35E6">
        <w:rPr>
          <w:rFonts w:ascii="Arial" w:hAnsi="Arial" w:cs="Arial"/>
          <w:lang w:val="en-US"/>
        </w:rPr>
        <w:tab/>
      </w:r>
      <w:r w:rsidR="005C75EE" w:rsidRPr="004F35E6">
        <w:rPr>
          <w:rFonts w:ascii="Arial" w:hAnsi="Arial" w:cs="Arial"/>
          <w:lang w:val="en-US"/>
        </w:rPr>
        <w:t>According to the P</w:t>
      </w:r>
      <w:r w:rsidR="009415FA" w:rsidRPr="004F35E6">
        <w:rPr>
          <w:rFonts w:ascii="Arial" w:hAnsi="Arial" w:cs="Arial"/>
          <w:lang w:val="en-US"/>
        </w:rPr>
        <w:t xml:space="preserve">anel, the </w:t>
      </w:r>
      <w:r w:rsidR="009415FA" w:rsidRPr="004F35E6">
        <w:rPr>
          <w:rFonts w:ascii="Arial" w:hAnsi="Arial" w:cs="Arial"/>
          <w:i/>
          <w:lang w:val="en-US"/>
        </w:rPr>
        <w:t>Minimum Required Domestic Content Levels</w:t>
      </w:r>
      <w:r w:rsidR="009415FA" w:rsidRPr="004F35E6">
        <w:rPr>
          <w:rFonts w:ascii="Arial" w:hAnsi="Arial" w:cs="Arial"/>
          <w:lang w:val="en-US"/>
        </w:rPr>
        <w:t xml:space="preserve"> not only involved the purchase or use of products from a domestic source</w:t>
      </w:r>
      <w:r w:rsidR="00571189" w:rsidRPr="004F35E6">
        <w:rPr>
          <w:rFonts w:ascii="Arial" w:hAnsi="Arial" w:cs="Arial"/>
          <w:lang w:val="en-US"/>
        </w:rPr>
        <w:t xml:space="preserve"> </w:t>
      </w:r>
      <w:r w:rsidR="009415FA" w:rsidRPr="004F35E6">
        <w:rPr>
          <w:rFonts w:ascii="Arial" w:hAnsi="Arial" w:cs="Arial"/>
          <w:lang w:val="en-US"/>
        </w:rPr>
        <w:t xml:space="preserve">but also that such compliance was necessary for electricity generators to participate in the FIT </w:t>
      </w:r>
      <w:proofErr w:type="spellStart"/>
      <w:r w:rsidR="009415FA" w:rsidRPr="004F35E6">
        <w:rPr>
          <w:rFonts w:ascii="Arial" w:hAnsi="Arial" w:cs="Arial"/>
          <w:lang w:val="en-US"/>
        </w:rPr>
        <w:t>Programme</w:t>
      </w:r>
      <w:proofErr w:type="spellEnd"/>
      <w:r w:rsidR="005C611F" w:rsidRPr="004F35E6">
        <w:rPr>
          <w:rFonts w:ascii="Arial" w:hAnsi="Arial" w:cs="Arial"/>
          <w:lang w:val="en-US"/>
        </w:rPr>
        <w:t>, and thereby obtain an advantage</w:t>
      </w:r>
      <w:r w:rsidR="00571189" w:rsidRPr="004F35E6">
        <w:rPr>
          <w:rFonts w:ascii="Arial" w:hAnsi="Arial" w:cs="Arial"/>
          <w:lang w:val="en-US"/>
        </w:rPr>
        <w:t xml:space="preserve">. </w:t>
      </w:r>
      <w:r w:rsidR="00CD39B4" w:rsidRPr="004F35E6">
        <w:rPr>
          <w:rFonts w:ascii="Arial" w:hAnsi="Arial" w:cs="Arial"/>
          <w:lang w:val="en-US"/>
        </w:rPr>
        <w:t>However, in the P</w:t>
      </w:r>
      <w:r w:rsidR="00571189" w:rsidRPr="004F35E6">
        <w:rPr>
          <w:rFonts w:ascii="Arial" w:hAnsi="Arial" w:cs="Arial"/>
          <w:lang w:val="en-US"/>
        </w:rPr>
        <w:t>anel’s view</w:t>
      </w:r>
      <w:r w:rsidR="00665BCE" w:rsidRPr="004F35E6">
        <w:rPr>
          <w:rFonts w:ascii="Arial" w:hAnsi="Arial" w:cs="Arial"/>
          <w:lang w:val="en-US"/>
        </w:rPr>
        <w:t>,</w:t>
      </w:r>
      <w:r w:rsidR="005C75EE" w:rsidRPr="004F35E6">
        <w:rPr>
          <w:rFonts w:ascii="Arial" w:hAnsi="Arial" w:cs="Arial"/>
          <w:lang w:val="en-US"/>
        </w:rPr>
        <w:t xml:space="preserve"> there was </w:t>
      </w:r>
      <w:r w:rsidR="00CD39B4" w:rsidRPr="004F35E6">
        <w:rPr>
          <w:rFonts w:ascii="Arial" w:hAnsi="Arial" w:cs="Arial"/>
          <w:lang w:val="en-US"/>
        </w:rPr>
        <w:t>enough proximity between the two sets of products, namely electricity (purchased product) and wind powers (generation equipment of renewable energy), i.e. the LCRs were in fact requirements for the purchase of electricity (Government Procurement), which would allow for the Article III. 8 (a) exemption.</w:t>
      </w:r>
    </w:p>
    <w:p w14:paraId="6724B729" w14:textId="77777777" w:rsidR="008F2F61" w:rsidRPr="004F35E6" w:rsidRDefault="008F2F61" w:rsidP="004F35E6">
      <w:pPr>
        <w:spacing w:after="0" w:line="240" w:lineRule="auto"/>
        <w:jc w:val="both"/>
        <w:rPr>
          <w:rFonts w:ascii="Arial" w:hAnsi="Arial" w:cs="Arial"/>
          <w:lang w:val="en-US"/>
        </w:rPr>
      </w:pPr>
      <w:r w:rsidRPr="004F35E6">
        <w:rPr>
          <w:rFonts w:ascii="Arial" w:hAnsi="Arial" w:cs="Arial"/>
          <w:lang w:val="en-US"/>
        </w:rPr>
        <w:tab/>
      </w:r>
    </w:p>
    <w:p w14:paraId="06939443" w14:textId="77777777" w:rsidR="00CD39B4" w:rsidRPr="004F35E6" w:rsidRDefault="008F2F61" w:rsidP="004F35E6">
      <w:pPr>
        <w:spacing w:after="0" w:line="240" w:lineRule="auto"/>
        <w:jc w:val="both"/>
        <w:rPr>
          <w:rFonts w:ascii="Arial" w:hAnsi="Arial" w:cs="Arial"/>
          <w:lang w:val="en-US"/>
        </w:rPr>
      </w:pPr>
      <w:r w:rsidRPr="004F35E6">
        <w:rPr>
          <w:rFonts w:ascii="Arial" w:hAnsi="Arial" w:cs="Arial"/>
          <w:lang w:val="en-US"/>
        </w:rPr>
        <w:tab/>
        <w:t>The AB reversed such Panel’s finding. It said that</w:t>
      </w:r>
      <w:r w:rsidR="0088266D">
        <w:rPr>
          <w:rFonts w:ascii="Arial" w:hAnsi="Arial" w:cs="Arial"/>
          <w:lang w:val="en-US"/>
        </w:rPr>
        <w:t xml:space="preserve"> for</w:t>
      </w:r>
      <w:r w:rsidRPr="004F35E6">
        <w:rPr>
          <w:rFonts w:ascii="Arial" w:hAnsi="Arial" w:cs="Arial"/>
          <w:lang w:val="en-US"/>
        </w:rPr>
        <w:t xml:space="preserve"> such an exemption to be triggered the product to which it is to be granted must be in a competitive relationship with the foreign product allegedly being discriminated. Clearly, this was not the case of electricity and</w:t>
      </w:r>
      <w:r w:rsidR="002E5C21" w:rsidRPr="004F35E6">
        <w:rPr>
          <w:rFonts w:ascii="Arial" w:hAnsi="Arial" w:cs="Arial"/>
          <w:lang w:val="en-US"/>
        </w:rPr>
        <w:t xml:space="preserve"> generation equipment of renewable energy. The product object of LCRs was the generation equipment purchased by the generators of energy, while the product purchased by governmental agencies was in reality electricity:</w:t>
      </w:r>
    </w:p>
    <w:p w14:paraId="66AB852F" w14:textId="77777777" w:rsidR="00665BCE" w:rsidRPr="004F35E6" w:rsidRDefault="00665BCE" w:rsidP="004F35E6">
      <w:pPr>
        <w:spacing w:after="0" w:line="240" w:lineRule="auto"/>
        <w:ind w:left="2268"/>
        <w:jc w:val="both"/>
        <w:rPr>
          <w:rFonts w:ascii="Arial" w:hAnsi="Arial" w:cs="Arial"/>
          <w:lang w:val="en-US"/>
        </w:rPr>
      </w:pPr>
    </w:p>
    <w:p w14:paraId="5D215AC7" w14:textId="77777777" w:rsidR="002E5C21" w:rsidRPr="005A0E45" w:rsidRDefault="00C84A0D" w:rsidP="004F35E6">
      <w:pPr>
        <w:spacing w:after="0" w:line="240" w:lineRule="auto"/>
        <w:ind w:left="2268"/>
        <w:jc w:val="both"/>
        <w:rPr>
          <w:rFonts w:ascii="Arial" w:hAnsi="Arial" w:cs="Arial"/>
          <w:sz w:val="20"/>
          <w:szCs w:val="20"/>
          <w:lang w:val="en-US"/>
        </w:rPr>
      </w:pPr>
      <w:r w:rsidRPr="005A0E45">
        <w:rPr>
          <w:rFonts w:ascii="Arial" w:hAnsi="Arial" w:cs="Arial"/>
          <w:sz w:val="20"/>
          <w:szCs w:val="20"/>
          <w:lang w:val="en-US"/>
        </w:rPr>
        <w:t xml:space="preserve">“5.75…The product purchased by the Government of Ontario under the FIT </w:t>
      </w:r>
      <w:proofErr w:type="spellStart"/>
      <w:r w:rsidRPr="005A0E45">
        <w:rPr>
          <w:rFonts w:ascii="Arial" w:hAnsi="Arial" w:cs="Arial"/>
          <w:sz w:val="20"/>
          <w:szCs w:val="20"/>
          <w:lang w:val="en-US"/>
        </w:rPr>
        <w:t>Programme</w:t>
      </w:r>
      <w:proofErr w:type="spellEnd"/>
      <w:r w:rsidRPr="005A0E45">
        <w:rPr>
          <w:rFonts w:ascii="Arial" w:hAnsi="Arial" w:cs="Arial"/>
          <w:sz w:val="20"/>
          <w:szCs w:val="20"/>
          <w:lang w:val="en-US"/>
        </w:rPr>
        <w:t xml:space="preserve"> and Contracts, however, is electricity and not generation equipment. The generation equipment is purchased by the generators themselves. Accordingly, the product being purchased by a governmental agency for purposes of Article III:8 (a) – namely electricity – is not the same as the product that is treated less</w:t>
      </w:r>
      <w:r w:rsidRPr="00C97BBF">
        <w:rPr>
          <w:rFonts w:ascii="Arial" w:hAnsi="Arial" w:cs="Arial"/>
          <w:i/>
          <w:sz w:val="20"/>
          <w:szCs w:val="20"/>
          <w:lang w:val="en-US"/>
        </w:rPr>
        <w:t xml:space="preserve"> </w:t>
      </w:r>
      <w:proofErr w:type="spellStart"/>
      <w:r w:rsidRPr="005A0E45">
        <w:rPr>
          <w:rFonts w:ascii="Arial" w:hAnsi="Arial" w:cs="Arial"/>
          <w:sz w:val="20"/>
          <w:szCs w:val="20"/>
          <w:lang w:val="en-US"/>
        </w:rPr>
        <w:t>favourably</w:t>
      </w:r>
      <w:proofErr w:type="spellEnd"/>
      <w:r w:rsidRPr="005A0E45">
        <w:rPr>
          <w:rFonts w:ascii="Arial" w:hAnsi="Arial" w:cs="Arial"/>
          <w:sz w:val="20"/>
          <w:szCs w:val="20"/>
          <w:lang w:val="en-US"/>
        </w:rPr>
        <w:t xml:space="preserve"> as a result of the Minimum Required Domestic Content Levels of the FIT </w:t>
      </w:r>
      <w:proofErr w:type="spellStart"/>
      <w:r w:rsidRPr="005A0E45">
        <w:rPr>
          <w:rFonts w:ascii="Arial" w:hAnsi="Arial" w:cs="Arial"/>
          <w:sz w:val="20"/>
          <w:szCs w:val="20"/>
          <w:lang w:val="en-US"/>
        </w:rPr>
        <w:t>Programme</w:t>
      </w:r>
      <w:proofErr w:type="spellEnd"/>
      <w:r w:rsidRPr="005A0E45">
        <w:rPr>
          <w:rFonts w:ascii="Arial" w:hAnsi="Arial" w:cs="Arial"/>
          <w:sz w:val="20"/>
          <w:szCs w:val="20"/>
          <w:lang w:val="en-US"/>
        </w:rPr>
        <w:t xml:space="preserve"> and Contracts</w:t>
      </w:r>
      <w:r w:rsidR="00F07F42" w:rsidRPr="005A0E45">
        <w:rPr>
          <w:rFonts w:ascii="Arial" w:hAnsi="Arial" w:cs="Arial"/>
          <w:sz w:val="20"/>
          <w:szCs w:val="20"/>
          <w:lang w:val="en-US"/>
        </w:rPr>
        <w:t>.</w:t>
      </w:r>
    </w:p>
    <w:p w14:paraId="63A4640D" w14:textId="77777777" w:rsidR="00F07F42" w:rsidRPr="005A0E45" w:rsidRDefault="00F07F42" w:rsidP="004F35E6">
      <w:pPr>
        <w:spacing w:after="0" w:line="240" w:lineRule="auto"/>
        <w:ind w:left="2268"/>
        <w:jc w:val="both"/>
        <w:rPr>
          <w:rFonts w:ascii="Arial" w:hAnsi="Arial" w:cs="Arial"/>
          <w:sz w:val="20"/>
          <w:szCs w:val="20"/>
          <w:lang w:val="en-US"/>
        </w:rPr>
      </w:pPr>
      <w:r w:rsidRPr="005A0E45">
        <w:rPr>
          <w:rFonts w:ascii="Arial" w:hAnsi="Arial" w:cs="Arial"/>
          <w:sz w:val="20"/>
          <w:szCs w:val="20"/>
          <w:lang w:val="en-US"/>
        </w:rPr>
        <w:t>5.79</w:t>
      </w:r>
      <w:r w:rsidR="00657C1C" w:rsidRPr="005A0E45">
        <w:rPr>
          <w:rFonts w:ascii="Arial" w:hAnsi="Arial" w:cs="Arial"/>
          <w:sz w:val="20"/>
          <w:szCs w:val="20"/>
          <w:lang w:val="en-US"/>
        </w:rPr>
        <w:t>…These two products are not in a competitive relationship…Accordingly, the discrimination relating to generation equipment…is not covered by the derogation of Art</w:t>
      </w:r>
      <w:r w:rsidR="00224A19" w:rsidRPr="005A0E45">
        <w:rPr>
          <w:rFonts w:ascii="Arial" w:hAnsi="Arial" w:cs="Arial"/>
          <w:sz w:val="20"/>
          <w:szCs w:val="20"/>
          <w:lang w:val="en-US"/>
        </w:rPr>
        <w:t>icle III.8 (a) of the GATT 1994</w:t>
      </w:r>
      <w:r w:rsidR="00657C1C" w:rsidRPr="005A0E45">
        <w:rPr>
          <w:rFonts w:ascii="Arial" w:hAnsi="Arial" w:cs="Arial"/>
          <w:sz w:val="20"/>
          <w:szCs w:val="20"/>
          <w:lang w:val="en-US"/>
        </w:rPr>
        <w:t>”</w:t>
      </w:r>
      <w:r w:rsidR="00224A19" w:rsidRPr="005A0E45">
        <w:rPr>
          <w:rFonts w:ascii="Arial" w:hAnsi="Arial" w:cs="Arial"/>
          <w:sz w:val="20"/>
          <w:szCs w:val="20"/>
          <w:lang w:val="en-US"/>
        </w:rPr>
        <w:t>.</w:t>
      </w:r>
    </w:p>
    <w:p w14:paraId="349F25CF" w14:textId="77777777" w:rsidR="00CA678E" w:rsidRPr="004F35E6" w:rsidRDefault="00E4353D" w:rsidP="004F35E6">
      <w:pPr>
        <w:spacing w:after="0" w:line="240" w:lineRule="auto"/>
        <w:jc w:val="both"/>
        <w:rPr>
          <w:rFonts w:ascii="Arial" w:hAnsi="Arial" w:cs="Arial"/>
          <w:lang w:val="en-US"/>
        </w:rPr>
      </w:pPr>
      <w:r w:rsidRPr="004F35E6">
        <w:rPr>
          <w:rFonts w:ascii="Arial" w:hAnsi="Arial" w:cs="Arial"/>
          <w:lang w:val="en-US"/>
        </w:rPr>
        <w:tab/>
      </w:r>
    </w:p>
    <w:p w14:paraId="587A3CEE" w14:textId="77777777" w:rsidR="00CD39B4" w:rsidRPr="004F35E6" w:rsidRDefault="00CA678E" w:rsidP="004F35E6">
      <w:pPr>
        <w:spacing w:after="0" w:line="240" w:lineRule="auto"/>
        <w:jc w:val="both"/>
        <w:rPr>
          <w:rFonts w:ascii="Arial" w:hAnsi="Arial" w:cs="Arial"/>
          <w:b/>
          <w:lang w:val="en-US"/>
        </w:rPr>
      </w:pPr>
      <w:r w:rsidRPr="004F35E6">
        <w:rPr>
          <w:rFonts w:ascii="Arial" w:hAnsi="Arial" w:cs="Arial"/>
          <w:lang w:val="en-US"/>
        </w:rPr>
        <w:tab/>
      </w:r>
      <w:r w:rsidR="00657C1C" w:rsidRPr="004F35E6">
        <w:rPr>
          <w:rFonts w:ascii="Arial" w:hAnsi="Arial" w:cs="Arial"/>
          <w:lang w:val="en-US"/>
        </w:rPr>
        <w:t xml:space="preserve">As </w:t>
      </w:r>
      <w:r w:rsidR="00E4353D" w:rsidRPr="004F35E6">
        <w:rPr>
          <w:rFonts w:ascii="Arial" w:hAnsi="Arial" w:cs="Arial"/>
          <w:lang w:val="en-US"/>
        </w:rPr>
        <w:t>asserted</w:t>
      </w:r>
      <w:r w:rsidR="00657C1C" w:rsidRPr="004F35E6">
        <w:rPr>
          <w:rFonts w:ascii="Arial" w:hAnsi="Arial" w:cs="Arial"/>
          <w:lang w:val="en-US"/>
        </w:rPr>
        <w:t xml:space="preserve"> by </w:t>
      </w:r>
      <w:proofErr w:type="spellStart"/>
      <w:r w:rsidR="00657C1C" w:rsidRPr="004F35E6">
        <w:rPr>
          <w:rFonts w:ascii="Arial" w:hAnsi="Arial" w:cs="Arial"/>
          <w:lang w:val="en-US"/>
        </w:rPr>
        <w:t>Bohanes</w:t>
      </w:r>
      <w:proofErr w:type="spellEnd"/>
      <w:r w:rsidR="00E5521C">
        <w:rPr>
          <w:rFonts w:ascii="Arial" w:hAnsi="Arial" w:cs="Arial"/>
          <w:lang w:val="en-US"/>
        </w:rPr>
        <w:t xml:space="preserve"> (2015)</w:t>
      </w:r>
      <w:r w:rsidR="00657C1C" w:rsidRPr="004F35E6">
        <w:rPr>
          <w:rFonts w:ascii="Arial" w:hAnsi="Arial" w:cs="Arial"/>
          <w:lang w:val="en-US"/>
        </w:rPr>
        <w:t xml:space="preserve"> “…the panel’s interpretation would have</w:t>
      </w:r>
      <w:r w:rsidR="00B70359" w:rsidRPr="004F35E6">
        <w:rPr>
          <w:rFonts w:ascii="Arial" w:hAnsi="Arial" w:cs="Arial"/>
          <w:lang w:val="en-US"/>
        </w:rPr>
        <w:t xml:space="preserve"> provided a potentially wide margin of discretion for governments to conduct industrial policy by discriminating in </w:t>
      </w:r>
      <w:proofErr w:type="spellStart"/>
      <w:r w:rsidR="00B70359" w:rsidRPr="004F35E6">
        <w:rPr>
          <w:rFonts w:ascii="Arial" w:hAnsi="Arial" w:cs="Arial"/>
          <w:lang w:val="en-US"/>
        </w:rPr>
        <w:t>favour</w:t>
      </w:r>
      <w:proofErr w:type="spellEnd"/>
      <w:r w:rsidR="00B70359" w:rsidRPr="004F35E6">
        <w:rPr>
          <w:rFonts w:ascii="Arial" w:hAnsi="Arial" w:cs="Arial"/>
          <w:lang w:val="en-US"/>
        </w:rPr>
        <w:t xml:space="preserve"> of a domestic product as long as that product was sufficiently closely relate</w:t>
      </w:r>
      <w:r w:rsidR="00224A19" w:rsidRPr="004F35E6">
        <w:rPr>
          <w:rFonts w:ascii="Arial" w:hAnsi="Arial" w:cs="Arial"/>
          <w:lang w:val="en-US"/>
        </w:rPr>
        <w:t>d to the product being procured</w:t>
      </w:r>
      <w:r w:rsidR="00B70359" w:rsidRPr="004F35E6">
        <w:rPr>
          <w:rFonts w:ascii="Arial" w:hAnsi="Arial" w:cs="Arial"/>
          <w:lang w:val="en-US"/>
        </w:rPr>
        <w:t>”</w:t>
      </w:r>
      <w:r w:rsidR="00224A19" w:rsidRPr="004F35E6">
        <w:rPr>
          <w:rFonts w:ascii="Arial" w:hAnsi="Arial" w:cs="Arial"/>
          <w:lang w:val="en-US"/>
        </w:rPr>
        <w:t>.</w:t>
      </w:r>
      <w:r w:rsidR="00B70359" w:rsidRPr="004F35E6">
        <w:rPr>
          <w:rStyle w:val="Refdenotaderodap"/>
          <w:rFonts w:ascii="Arial" w:hAnsi="Arial" w:cs="Arial"/>
          <w:lang w:val="en-US"/>
        </w:rPr>
        <w:footnoteReference w:id="22"/>
      </w:r>
      <w:r w:rsidR="00345BC7" w:rsidRPr="004F35E6">
        <w:rPr>
          <w:rFonts w:ascii="Arial" w:hAnsi="Arial" w:cs="Arial"/>
          <w:lang w:val="en-US"/>
        </w:rPr>
        <w:t xml:space="preserve"> The AB’s interpretation, confirmed in </w:t>
      </w:r>
      <w:r w:rsidR="00345BC7" w:rsidRPr="004F35E6">
        <w:rPr>
          <w:rFonts w:ascii="Arial" w:hAnsi="Arial" w:cs="Arial"/>
          <w:i/>
          <w:lang w:val="en-US"/>
        </w:rPr>
        <w:t>India –Solar Cells</w:t>
      </w:r>
      <w:r w:rsidR="00345BC7" w:rsidRPr="004F35E6">
        <w:rPr>
          <w:rFonts w:ascii="Arial" w:hAnsi="Arial" w:cs="Arial"/>
          <w:lang w:val="en-US"/>
        </w:rPr>
        <w:t>, is likely to reduce the possibility of Members relying on the derogation of Article III.8 (a) in future LCRs measures not only in the energy sector given that its implications may go far beyond that. The AB reduced even more the policy space of Members to use Government Procurement to avoid the restrictions of Article III. 4</w:t>
      </w:r>
      <w:r w:rsidR="00665BCE" w:rsidRPr="004F35E6">
        <w:rPr>
          <w:rFonts w:ascii="Arial" w:hAnsi="Arial" w:cs="Arial"/>
          <w:lang w:val="en-US"/>
        </w:rPr>
        <w:t xml:space="preserve"> GATT 1994</w:t>
      </w:r>
      <w:r w:rsidR="00345BC7" w:rsidRPr="004F35E6">
        <w:rPr>
          <w:rFonts w:ascii="Arial" w:hAnsi="Arial" w:cs="Arial"/>
          <w:lang w:val="en-US"/>
        </w:rPr>
        <w:t xml:space="preserve"> and </w:t>
      </w:r>
      <w:r w:rsidR="00665BCE" w:rsidRPr="004F35E6">
        <w:rPr>
          <w:rFonts w:ascii="Arial" w:hAnsi="Arial" w:cs="Arial"/>
          <w:lang w:val="en-US"/>
        </w:rPr>
        <w:t>the T</w:t>
      </w:r>
      <w:r w:rsidR="00345BC7" w:rsidRPr="004F35E6">
        <w:rPr>
          <w:rFonts w:ascii="Arial" w:hAnsi="Arial" w:cs="Arial"/>
          <w:lang w:val="en-US"/>
        </w:rPr>
        <w:t>RIMs.</w:t>
      </w:r>
    </w:p>
    <w:p w14:paraId="64806248" w14:textId="77777777" w:rsidR="0091573A" w:rsidRPr="004F35E6" w:rsidRDefault="0091573A" w:rsidP="004F35E6">
      <w:pPr>
        <w:spacing w:after="0" w:line="240" w:lineRule="auto"/>
        <w:jc w:val="both"/>
        <w:rPr>
          <w:rFonts w:ascii="Arial" w:hAnsi="Arial" w:cs="Arial"/>
          <w:b/>
          <w:lang w:val="en-US"/>
        </w:rPr>
      </w:pPr>
      <w:r w:rsidRPr="004F35E6">
        <w:rPr>
          <w:rFonts w:ascii="Arial" w:hAnsi="Arial" w:cs="Arial"/>
          <w:b/>
          <w:lang w:val="en-US"/>
        </w:rPr>
        <w:tab/>
      </w:r>
    </w:p>
    <w:p w14:paraId="2C474C9C" w14:textId="77777777" w:rsidR="000A73AD" w:rsidRPr="004F35E6" w:rsidRDefault="008E0831" w:rsidP="004F35E6">
      <w:pPr>
        <w:spacing w:after="0" w:line="240" w:lineRule="auto"/>
        <w:jc w:val="both"/>
        <w:rPr>
          <w:rFonts w:ascii="Arial" w:hAnsi="Arial" w:cs="Arial"/>
          <w:lang w:val="en-US"/>
        </w:rPr>
      </w:pPr>
      <w:r w:rsidRPr="004F35E6">
        <w:rPr>
          <w:rFonts w:ascii="Arial" w:hAnsi="Arial" w:cs="Arial"/>
          <w:b/>
          <w:lang w:val="en-US"/>
        </w:rPr>
        <w:tab/>
      </w:r>
      <w:r w:rsidRPr="004F35E6">
        <w:rPr>
          <w:rFonts w:ascii="Arial" w:hAnsi="Arial" w:cs="Arial"/>
          <w:i/>
          <w:lang w:val="en-US"/>
        </w:rPr>
        <w:t xml:space="preserve">India Solar – Cells </w:t>
      </w:r>
      <w:r w:rsidR="00F33538" w:rsidRPr="004F35E6">
        <w:rPr>
          <w:rFonts w:ascii="Arial" w:hAnsi="Arial" w:cs="Arial"/>
          <w:lang w:val="en-US"/>
        </w:rPr>
        <w:t>dealt</w:t>
      </w:r>
      <w:r w:rsidRPr="004F35E6">
        <w:rPr>
          <w:rFonts w:ascii="Arial" w:hAnsi="Arial" w:cs="Arial"/>
          <w:lang w:val="en-US"/>
        </w:rPr>
        <w:t xml:space="preserve"> with similar characteristics to those examined in </w:t>
      </w:r>
      <w:r w:rsidRPr="004F35E6">
        <w:rPr>
          <w:rFonts w:ascii="Arial" w:hAnsi="Arial" w:cs="Arial"/>
          <w:i/>
          <w:lang w:val="en-US"/>
        </w:rPr>
        <w:t>Canada – Renewable Energy.</w:t>
      </w:r>
      <w:r w:rsidRPr="004F35E6">
        <w:rPr>
          <w:rFonts w:ascii="Arial" w:hAnsi="Arial" w:cs="Arial"/>
          <w:lang w:val="en-US"/>
        </w:rPr>
        <w:t xml:space="preserve"> With a view to </w:t>
      </w:r>
      <w:r w:rsidR="00E4353D" w:rsidRPr="004F35E6">
        <w:rPr>
          <w:rFonts w:ascii="Arial" w:hAnsi="Arial" w:cs="Arial"/>
          <w:lang w:val="en-US"/>
        </w:rPr>
        <w:t>incentivizing</w:t>
      </w:r>
      <w:r w:rsidRPr="004F35E6">
        <w:rPr>
          <w:rFonts w:ascii="Arial" w:hAnsi="Arial" w:cs="Arial"/>
          <w:lang w:val="en-US"/>
        </w:rPr>
        <w:t xml:space="preserve"> the development of solar energy in the country, the Government of India implemented incentive mechanisms to </w:t>
      </w:r>
      <w:r w:rsidR="00F83F9C" w:rsidRPr="004F35E6">
        <w:rPr>
          <w:rFonts w:ascii="Arial" w:hAnsi="Arial" w:cs="Arial"/>
          <w:lang w:val="en-US"/>
        </w:rPr>
        <w:t>manufacturers (</w:t>
      </w:r>
      <w:r w:rsidRPr="004F35E6">
        <w:rPr>
          <w:rFonts w:ascii="Arial" w:hAnsi="Arial" w:cs="Arial"/>
          <w:lang w:val="en-US"/>
        </w:rPr>
        <w:t>developers</w:t>
      </w:r>
      <w:r w:rsidR="00F83F9C" w:rsidRPr="004F35E6">
        <w:rPr>
          <w:rFonts w:ascii="Arial" w:hAnsi="Arial" w:cs="Arial"/>
          <w:lang w:val="en-US"/>
        </w:rPr>
        <w:t>)</w:t>
      </w:r>
      <w:r w:rsidRPr="004F35E6">
        <w:rPr>
          <w:rFonts w:ascii="Arial" w:hAnsi="Arial" w:cs="Arial"/>
          <w:lang w:val="en-US"/>
        </w:rPr>
        <w:t xml:space="preserve"> of generation equipment of this energy. </w:t>
      </w:r>
      <w:r w:rsidR="00F83F9C" w:rsidRPr="004F35E6">
        <w:rPr>
          <w:rFonts w:ascii="Arial" w:hAnsi="Arial" w:cs="Arial"/>
          <w:lang w:val="en-US"/>
        </w:rPr>
        <w:t>Under this</w:t>
      </w:r>
      <w:r w:rsidR="00177EE3" w:rsidRPr="004F35E6">
        <w:rPr>
          <w:rFonts w:ascii="Arial" w:hAnsi="Arial" w:cs="Arial"/>
          <w:lang w:val="en-US"/>
        </w:rPr>
        <w:t xml:space="preserve"> </w:t>
      </w:r>
      <w:proofErr w:type="spellStart"/>
      <w:r w:rsidR="00177EE3" w:rsidRPr="004F35E6">
        <w:rPr>
          <w:rFonts w:ascii="Arial" w:hAnsi="Arial" w:cs="Arial"/>
          <w:lang w:val="en-US"/>
        </w:rPr>
        <w:t>Programme</w:t>
      </w:r>
      <w:proofErr w:type="spellEnd"/>
      <w:r w:rsidR="00177EE3" w:rsidRPr="004F35E6">
        <w:rPr>
          <w:rFonts w:ascii="Arial" w:hAnsi="Arial" w:cs="Arial"/>
          <w:lang w:val="en-US"/>
        </w:rPr>
        <w:t xml:space="preserve">, the Government enters into long term electricity purchase contracts with </w:t>
      </w:r>
      <w:r w:rsidR="00F83F9C" w:rsidRPr="004F35E6">
        <w:rPr>
          <w:rFonts w:ascii="Arial" w:hAnsi="Arial" w:cs="Arial"/>
          <w:lang w:val="en-US"/>
        </w:rPr>
        <w:t>developers</w:t>
      </w:r>
      <w:r w:rsidR="00177EE3" w:rsidRPr="004F35E6">
        <w:rPr>
          <w:rFonts w:ascii="Arial" w:hAnsi="Arial" w:cs="Arial"/>
          <w:lang w:val="en-US"/>
        </w:rPr>
        <w:t xml:space="preserve"> interested in developing generation equipment with a guaranteed return rate for a </w:t>
      </w:r>
      <w:r w:rsidR="001441E8" w:rsidRPr="004F35E6">
        <w:rPr>
          <w:rFonts w:ascii="Arial" w:hAnsi="Arial" w:cs="Arial"/>
          <w:lang w:val="en-US"/>
        </w:rPr>
        <w:t>period of 25 years</w:t>
      </w:r>
      <w:r w:rsidR="00177EE3" w:rsidRPr="004F35E6">
        <w:rPr>
          <w:rFonts w:ascii="Arial" w:hAnsi="Arial" w:cs="Arial"/>
          <w:lang w:val="en-US"/>
        </w:rPr>
        <w:t xml:space="preserve">. </w:t>
      </w:r>
      <w:r w:rsidR="00F83F9C" w:rsidRPr="004F35E6">
        <w:rPr>
          <w:rFonts w:ascii="Arial" w:hAnsi="Arial" w:cs="Arial"/>
          <w:lang w:val="en-US"/>
        </w:rPr>
        <w:t>In exchange, such developers shall fulfil LCRs under which they shall use solar cells and modules manufactured in India.</w:t>
      </w:r>
    </w:p>
    <w:p w14:paraId="4652B817" w14:textId="77777777" w:rsidR="00250EBA" w:rsidRPr="004F35E6" w:rsidRDefault="00250EBA" w:rsidP="004F35E6">
      <w:pPr>
        <w:spacing w:after="0" w:line="240" w:lineRule="auto"/>
        <w:jc w:val="both"/>
        <w:rPr>
          <w:rFonts w:ascii="Arial" w:hAnsi="Arial" w:cs="Arial"/>
          <w:lang w:val="en-US"/>
        </w:rPr>
      </w:pPr>
    </w:p>
    <w:p w14:paraId="6E6D25C4" w14:textId="77777777" w:rsidR="00250EBA" w:rsidRPr="004F35E6" w:rsidRDefault="00250EBA" w:rsidP="004F35E6">
      <w:pPr>
        <w:spacing w:after="0" w:line="240" w:lineRule="auto"/>
        <w:jc w:val="both"/>
        <w:rPr>
          <w:rFonts w:ascii="Arial" w:hAnsi="Arial" w:cs="Arial"/>
          <w:lang w:val="en-US"/>
        </w:rPr>
      </w:pPr>
      <w:r w:rsidRPr="004F35E6">
        <w:rPr>
          <w:rFonts w:ascii="Arial" w:hAnsi="Arial" w:cs="Arial"/>
          <w:lang w:val="en-US"/>
        </w:rPr>
        <w:tab/>
        <w:t xml:space="preserve">As in </w:t>
      </w:r>
      <w:r w:rsidRPr="004F35E6">
        <w:rPr>
          <w:rFonts w:ascii="Arial" w:hAnsi="Arial" w:cs="Arial"/>
          <w:i/>
          <w:lang w:val="en-US"/>
        </w:rPr>
        <w:t>Canada Renewable Energy</w:t>
      </w:r>
      <w:r w:rsidRPr="004F35E6">
        <w:rPr>
          <w:rFonts w:ascii="Arial" w:hAnsi="Arial" w:cs="Arial"/>
          <w:lang w:val="en-US"/>
        </w:rPr>
        <w:t xml:space="preserve"> and other cases, the Panel found that LCRs were inconsistent with the national treatment obligation enshrined in Article III. 4 of GATT 1994 and, therefore, incompatible with Article 2.1 of </w:t>
      </w:r>
      <w:r w:rsidR="0055651E" w:rsidRPr="004F35E6">
        <w:rPr>
          <w:rFonts w:ascii="Arial" w:hAnsi="Arial" w:cs="Arial"/>
          <w:lang w:val="en-US"/>
        </w:rPr>
        <w:t xml:space="preserve">the </w:t>
      </w:r>
      <w:r w:rsidRPr="004F35E6">
        <w:rPr>
          <w:rFonts w:ascii="Arial" w:hAnsi="Arial" w:cs="Arial"/>
          <w:lang w:val="en-US"/>
        </w:rPr>
        <w:t>TRIMs:</w:t>
      </w:r>
    </w:p>
    <w:p w14:paraId="6C4EC11E" w14:textId="77777777" w:rsidR="009B293D" w:rsidRPr="004F35E6" w:rsidRDefault="009B293D" w:rsidP="004F35E6">
      <w:pPr>
        <w:spacing w:after="0" w:line="240" w:lineRule="auto"/>
        <w:jc w:val="both"/>
        <w:rPr>
          <w:rFonts w:ascii="Arial" w:hAnsi="Arial" w:cs="Arial"/>
          <w:lang w:val="en-US"/>
        </w:rPr>
      </w:pPr>
    </w:p>
    <w:p w14:paraId="245391EA" w14:textId="77777777" w:rsidR="00250EBA" w:rsidRPr="004A4845" w:rsidRDefault="00250EBA" w:rsidP="004F35E6">
      <w:pPr>
        <w:spacing w:after="0" w:line="240" w:lineRule="auto"/>
        <w:ind w:left="2268"/>
        <w:jc w:val="both"/>
        <w:rPr>
          <w:rFonts w:ascii="Arial" w:hAnsi="Arial" w:cs="Arial"/>
          <w:sz w:val="20"/>
          <w:szCs w:val="20"/>
          <w:lang w:val="en-US"/>
        </w:rPr>
      </w:pPr>
      <w:r w:rsidRPr="004A4845">
        <w:rPr>
          <w:rFonts w:ascii="Arial" w:hAnsi="Arial" w:cs="Arial"/>
          <w:sz w:val="20"/>
          <w:szCs w:val="20"/>
          <w:lang w:val="en-US"/>
        </w:rPr>
        <w:t>“</w:t>
      </w:r>
      <w:r w:rsidR="00037FCE" w:rsidRPr="004A4845">
        <w:rPr>
          <w:rFonts w:ascii="Arial" w:hAnsi="Arial" w:cs="Arial"/>
          <w:sz w:val="20"/>
          <w:szCs w:val="20"/>
          <w:lang w:val="en-US"/>
        </w:rPr>
        <w:t xml:space="preserve">7.73 </w:t>
      </w:r>
      <w:r w:rsidRPr="004A4845">
        <w:rPr>
          <w:rFonts w:ascii="Arial" w:hAnsi="Arial" w:cs="Arial"/>
          <w:sz w:val="20"/>
          <w:szCs w:val="20"/>
          <w:lang w:val="en-US"/>
        </w:rPr>
        <w:t>Having found that the DCR</w:t>
      </w:r>
      <w:r w:rsidR="0055651E" w:rsidRPr="004A4845">
        <w:rPr>
          <w:rFonts w:ascii="Arial" w:hAnsi="Arial" w:cs="Arial"/>
          <w:sz w:val="20"/>
          <w:szCs w:val="20"/>
          <w:lang w:val="en-US"/>
        </w:rPr>
        <w:t xml:space="preserve"> </w:t>
      </w:r>
      <w:r w:rsidR="00F04ABA" w:rsidRPr="004A4845">
        <w:rPr>
          <w:rFonts w:ascii="Arial" w:hAnsi="Arial" w:cs="Arial"/>
          <w:sz w:val="20"/>
          <w:szCs w:val="20"/>
          <w:lang w:val="en-US"/>
        </w:rPr>
        <w:t xml:space="preserve">[Domestic Content Requirement] </w:t>
      </w:r>
      <w:r w:rsidR="0055651E" w:rsidRPr="004A4845">
        <w:rPr>
          <w:rFonts w:ascii="Arial" w:hAnsi="Arial" w:cs="Arial"/>
          <w:sz w:val="20"/>
          <w:szCs w:val="20"/>
          <w:lang w:val="en-US"/>
        </w:rPr>
        <w:t>measures are TRIMs that “require the purchase or use by an enterprise of products of domestic origin”, and that ‘are mandatory or enforceable under domestic law or under administrative rulings, or compliance with which is necessary to obtain an advantage’, we find the DCR measures fulfil the requirements of paragraph 1 (a) of the TRIMs Illustrative List. Accordingly, the DCR measures ‘are inconsistent with the obligation of national treatment provided for in paragraph 4 of Article III of GATT 1994’ and thereby also inconsistent with Article 2.1 of the TRIMs Agreement”.</w:t>
      </w:r>
    </w:p>
    <w:p w14:paraId="351174C8" w14:textId="77777777" w:rsidR="000A73AD" w:rsidRPr="004A4845" w:rsidRDefault="000A73AD" w:rsidP="004F35E6">
      <w:pPr>
        <w:spacing w:after="0" w:line="240" w:lineRule="auto"/>
        <w:jc w:val="both"/>
        <w:rPr>
          <w:rFonts w:ascii="Arial" w:hAnsi="Arial" w:cs="Arial"/>
          <w:sz w:val="20"/>
          <w:szCs w:val="20"/>
          <w:lang w:val="en-US"/>
        </w:rPr>
      </w:pPr>
      <w:r w:rsidRPr="004A4845">
        <w:rPr>
          <w:rFonts w:ascii="Arial" w:hAnsi="Arial" w:cs="Arial"/>
          <w:sz w:val="20"/>
          <w:szCs w:val="20"/>
          <w:lang w:val="en-US"/>
        </w:rPr>
        <w:tab/>
      </w:r>
    </w:p>
    <w:p w14:paraId="79B9EE06" w14:textId="77777777" w:rsidR="003053C8" w:rsidRPr="004A4845" w:rsidRDefault="000A73AD" w:rsidP="004F35E6">
      <w:pPr>
        <w:spacing w:after="0" w:line="240" w:lineRule="auto"/>
        <w:jc w:val="both"/>
        <w:rPr>
          <w:rFonts w:ascii="Arial" w:hAnsi="Arial" w:cs="Arial"/>
          <w:lang w:val="en-US"/>
        </w:rPr>
      </w:pPr>
      <w:r w:rsidRPr="004A4845">
        <w:rPr>
          <w:rFonts w:ascii="Arial" w:hAnsi="Arial" w:cs="Arial"/>
          <w:lang w:val="en-US"/>
        </w:rPr>
        <w:tab/>
      </w:r>
    </w:p>
    <w:p w14:paraId="6CED666C" w14:textId="77777777" w:rsidR="0055651E" w:rsidRPr="004F35E6" w:rsidRDefault="0055651E" w:rsidP="004F35E6">
      <w:pPr>
        <w:pStyle w:val="paranormaltext"/>
        <w:shd w:val="clear" w:color="auto" w:fill="FFFFFF"/>
        <w:spacing w:before="0" w:beforeAutospacing="0" w:after="0" w:afterAutospacing="0"/>
        <w:jc w:val="both"/>
        <w:rPr>
          <w:rFonts w:ascii="Arial" w:hAnsi="Arial" w:cs="Arial"/>
          <w:sz w:val="22"/>
          <w:szCs w:val="22"/>
          <w:lang w:val="en-US"/>
        </w:rPr>
      </w:pPr>
      <w:r w:rsidRPr="004F35E6">
        <w:rPr>
          <w:rFonts w:ascii="Arial" w:hAnsi="Arial" w:cs="Arial"/>
          <w:sz w:val="22"/>
          <w:szCs w:val="22"/>
          <w:lang w:val="en-US"/>
        </w:rPr>
        <w:tab/>
        <w:t>As regard</w:t>
      </w:r>
      <w:r w:rsidR="00037FCE" w:rsidRPr="004F35E6">
        <w:rPr>
          <w:rFonts w:ascii="Arial" w:hAnsi="Arial" w:cs="Arial"/>
          <w:sz w:val="22"/>
          <w:szCs w:val="22"/>
          <w:lang w:val="en-US"/>
        </w:rPr>
        <w:t xml:space="preserve">s the derogation of Article III.8 (a), the Panel followed the </w:t>
      </w:r>
      <w:r w:rsidR="00E16CEE" w:rsidRPr="004F35E6">
        <w:rPr>
          <w:rFonts w:ascii="Arial" w:hAnsi="Arial" w:cs="Arial"/>
          <w:i/>
          <w:sz w:val="22"/>
          <w:szCs w:val="22"/>
          <w:lang w:val="en-US"/>
        </w:rPr>
        <w:t>ratio</w:t>
      </w:r>
      <w:r w:rsidR="00037FCE" w:rsidRPr="004F35E6">
        <w:rPr>
          <w:rFonts w:ascii="Arial" w:hAnsi="Arial" w:cs="Arial"/>
          <w:sz w:val="22"/>
          <w:szCs w:val="22"/>
          <w:lang w:val="en-US"/>
        </w:rPr>
        <w:t xml:space="preserve"> and conclusions of the AB in </w:t>
      </w:r>
      <w:r w:rsidR="00037FCE" w:rsidRPr="004F35E6">
        <w:rPr>
          <w:rFonts w:ascii="Arial" w:hAnsi="Arial" w:cs="Arial"/>
          <w:i/>
          <w:sz w:val="22"/>
          <w:szCs w:val="22"/>
          <w:lang w:val="en-US"/>
        </w:rPr>
        <w:t>Canada Renewable Energy</w:t>
      </w:r>
      <w:r w:rsidR="00037FCE" w:rsidRPr="004F35E6">
        <w:rPr>
          <w:rFonts w:ascii="Arial" w:hAnsi="Arial" w:cs="Arial"/>
          <w:sz w:val="22"/>
          <w:szCs w:val="22"/>
          <w:lang w:val="en-US"/>
        </w:rPr>
        <w:t xml:space="preserve">. The Panel dismissed the allegations presented by India that the measures of this case were distinguishable in any relevant respect from the measures examined by the AB in </w:t>
      </w:r>
      <w:r w:rsidR="00B3186A" w:rsidRPr="004F35E6">
        <w:rPr>
          <w:rFonts w:ascii="Arial" w:hAnsi="Arial" w:cs="Arial"/>
          <w:i/>
          <w:sz w:val="22"/>
          <w:szCs w:val="22"/>
          <w:lang w:val="en-US"/>
        </w:rPr>
        <w:t>Canada Renewable Energy</w:t>
      </w:r>
      <w:r w:rsidR="00B3186A" w:rsidRPr="004F35E6">
        <w:rPr>
          <w:rFonts w:ascii="Arial" w:hAnsi="Arial" w:cs="Arial"/>
          <w:sz w:val="22"/>
          <w:szCs w:val="22"/>
          <w:lang w:val="en-US"/>
        </w:rPr>
        <w:t xml:space="preserve">. The Panel highlighted that the LCRs of the </w:t>
      </w:r>
      <w:proofErr w:type="spellStart"/>
      <w:r w:rsidR="00B3186A" w:rsidRPr="004F35E6">
        <w:rPr>
          <w:rFonts w:ascii="Arial" w:hAnsi="Arial" w:cs="Arial"/>
          <w:sz w:val="22"/>
          <w:szCs w:val="22"/>
          <w:lang w:val="en-US"/>
        </w:rPr>
        <w:t>Programme</w:t>
      </w:r>
      <w:proofErr w:type="spellEnd"/>
      <w:r w:rsidR="00B3186A" w:rsidRPr="004F35E6">
        <w:rPr>
          <w:rFonts w:ascii="Arial" w:hAnsi="Arial" w:cs="Arial"/>
          <w:sz w:val="22"/>
          <w:szCs w:val="22"/>
          <w:lang w:val="en-US"/>
        </w:rPr>
        <w:t xml:space="preserve"> did not fall into the Article III. 8 (a) exemption as the electricity purchased by the Government was not in a “competition relationship” with the solar cells and modules subject to discrimination under the LCRs:</w:t>
      </w:r>
    </w:p>
    <w:p w14:paraId="6A7F1C04" w14:textId="77777777" w:rsidR="009B293D" w:rsidRPr="004F35E6" w:rsidRDefault="009B293D" w:rsidP="004F35E6">
      <w:pPr>
        <w:pStyle w:val="paranormaltext"/>
        <w:shd w:val="clear" w:color="auto" w:fill="FFFFFF"/>
        <w:spacing w:before="0" w:beforeAutospacing="0" w:after="0" w:afterAutospacing="0"/>
        <w:ind w:left="2268"/>
        <w:jc w:val="both"/>
        <w:rPr>
          <w:rFonts w:ascii="Arial" w:hAnsi="Arial" w:cs="Arial"/>
          <w:sz w:val="22"/>
          <w:szCs w:val="22"/>
          <w:lang w:val="en-US"/>
        </w:rPr>
      </w:pPr>
    </w:p>
    <w:p w14:paraId="2962BD1E" w14:textId="77777777" w:rsidR="00B3186A" w:rsidRPr="0087237A" w:rsidRDefault="00D55B49" w:rsidP="004F35E6">
      <w:pPr>
        <w:pStyle w:val="paranormaltext"/>
        <w:shd w:val="clear" w:color="auto" w:fill="FFFFFF"/>
        <w:spacing w:before="0" w:beforeAutospacing="0" w:after="0" w:afterAutospacing="0"/>
        <w:ind w:left="2268"/>
        <w:jc w:val="both"/>
        <w:rPr>
          <w:rFonts w:ascii="Arial" w:hAnsi="Arial" w:cs="Arial"/>
          <w:sz w:val="20"/>
          <w:szCs w:val="20"/>
          <w:lang w:val="en-US"/>
        </w:rPr>
      </w:pPr>
      <w:r w:rsidRPr="0087237A">
        <w:rPr>
          <w:rFonts w:ascii="Arial" w:hAnsi="Arial" w:cs="Arial"/>
          <w:sz w:val="20"/>
          <w:szCs w:val="20"/>
          <w:lang w:val="en-US"/>
        </w:rPr>
        <w:t>“7.135…In light of the Appellate Body’s legal interpretation of Article III.8 (a) as applied to the governmental purchase of electricity and discrimination against foreign generation equipment, we find that the discrimination relating to solar cells and modules under the DCR measures is not covered by the derogation of Article III: 8 (a)”.</w:t>
      </w:r>
    </w:p>
    <w:p w14:paraId="4BFDDE72" w14:textId="77777777" w:rsidR="0055651E" w:rsidRPr="0087237A" w:rsidRDefault="0055651E" w:rsidP="004F35E6">
      <w:pPr>
        <w:pStyle w:val="paranormaltext"/>
        <w:shd w:val="clear" w:color="auto" w:fill="FFFFFF"/>
        <w:spacing w:before="0" w:beforeAutospacing="0" w:after="0" w:afterAutospacing="0"/>
        <w:jc w:val="both"/>
        <w:rPr>
          <w:rFonts w:ascii="Arial" w:hAnsi="Arial" w:cs="Arial"/>
          <w:sz w:val="22"/>
          <w:szCs w:val="22"/>
          <w:lang w:val="en-US"/>
        </w:rPr>
      </w:pPr>
    </w:p>
    <w:p w14:paraId="654B9E3E" w14:textId="77777777" w:rsidR="00D55B49" w:rsidRPr="004F35E6" w:rsidRDefault="00D55B49" w:rsidP="004F35E6">
      <w:pPr>
        <w:pStyle w:val="paranormaltext"/>
        <w:shd w:val="clear" w:color="auto" w:fill="FFFFFF"/>
        <w:spacing w:before="0" w:beforeAutospacing="0" w:after="0" w:afterAutospacing="0"/>
        <w:jc w:val="both"/>
        <w:rPr>
          <w:rFonts w:ascii="Arial" w:hAnsi="Arial" w:cs="Arial"/>
          <w:sz w:val="22"/>
          <w:szCs w:val="22"/>
          <w:lang w:val="en-US"/>
        </w:rPr>
      </w:pPr>
      <w:r w:rsidRPr="004F35E6">
        <w:rPr>
          <w:rFonts w:ascii="Arial" w:hAnsi="Arial" w:cs="Arial"/>
          <w:sz w:val="22"/>
          <w:szCs w:val="22"/>
          <w:lang w:val="en-US"/>
        </w:rPr>
        <w:tab/>
        <w:t>The AB upheld the Panel</w:t>
      </w:r>
      <w:r w:rsidR="00F04ABA" w:rsidRPr="004F35E6">
        <w:rPr>
          <w:rFonts w:ascii="Arial" w:hAnsi="Arial" w:cs="Arial"/>
          <w:sz w:val="22"/>
          <w:szCs w:val="22"/>
          <w:lang w:val="en-US"/>
        </w:rPr>
        <w:t>’s</w:t>
      </w:r>
      <w:r w:rsidRPr="004F35E6">
        <w:rPr>
          <w:rFonts w:ascii="Arial" w:hAnsi="Arial" w:cs="Arial"/>
          <w:sz w:val="22"/>
          <w:szCs w:val="22"/>
          <w:lang w:val="en-US"/>
        </w:rPr>
        <w:t xml:space="preserve"> findings by stating that:</w:t>
      </w:r>
    </w:p>
    <w:p w14:paraId="2102A0C5" w14:textId="77777777" w:rsidR="009B293D" w:rsidRPr="0087237A" w:rsidRDefault="009B293D" w:rsidP="004F35E6">
      <w:pPr>
        <w:pStyle w:val="paranormaltext"/>
        <w:shd w:val="clear" w:color="auto" w:fill="FFFFFF"/>
        <w:spacing w:before="0" w:beforeAutospacing="0" w:after="0" w:afterAutospacing="0"/>
        <w:ind w:left="2268"/>
        <w:jc w:val="both"/>
        <w:rPr>
          <w:rFonts w:ascii="Arial" w:hAnsi="Arial" w:cs="Arial"/>
          <w:sz w:val="22"/>
          <w:szCs w:val="22"/>
          <w:lang w:val="en-US"/>
        </w:rPr>
      </w:pPr>
    </w:p>
    <w:p w14:paraId="7CDE5CC9" w14:textId="77777777" w:rsidR="00D55B49" w:rsidRPr="0087237A" w:rsidRDefault="00D55B49" w:rsidP="004F35E6">
      <w:pPr>
        <w:pStyle w:val="paranormaltext"/>
        <w:shd w:val="clear" w:color="auto" w:fill="FFFFFF"/>
        <w:spacing w:before="0" w:beforeAutospacing="0" w:after="0" w:afterAutospacing="0"/>
        <w:ind w:left="2268"/>
        <w:jc w:val="both"/>
        <w:rPr>
          <w:rFonts w:ascii="Arial" w:hAnsi="Arial" w:cs="Arial"/>
          <w:sz w:val="20"/>
          <w:szCs w:val="20"/>
          <w:lang w:val="en-US"/>
        </w:rPr>
      </w:pPr>
      <w:r w:rsidRPr="0087237A">
        <w:rPr>
          <w:rFonts w:ascii="Arial" w:hAnsi="Arial" w:cs="Arial"/>
          <w:sz w:val="20"/>
          <w:szCs w:val="20"/>
          <w:lang w:val="en-US"/>
        </w:rPr>
        <w:t>“</w:t>
      </w:r>
      <w:r w:rsidR="00F04ABA" w:rsidRPr="0087237A">
        <w:rPr>
          <w:rFonts w:ascii="Arial" w:hAnsi="Arial" w:cs="Arial"/>
          <w:sz w:val="20"/>
          <w:szCs w:val="20"/>
          <w:lang w:val="en-US"/>
        </w:rPr>
        <w:t>6.2…We find the Panel was properly guided by the Appellate Body report in Canada Renewable Energy/Canada – Feed-in Tariff Program in finding that the DCR measures are not covered by the derogation under Article III: 8 (a); (…)</w:t>
      </w:r>
    </w:p>
    <w:p w14:paraId="799A8633" w14:textId="77777777" w:rsidR="00F04ABA" w:rsidRPr="0087237A" w:rsidRDefault="00F04ABA" w:rsidP="004F35E6">
      <w:pPr>
        <w:pStyle w:val="paranormaltext"/>
        <w:shd w:val="clear" w:color="auto" w:fill="FFFFFF"/>
        <w:spacing w:before="0" w:beforeAutospacing="0" w:after="0" w:afterAutospacing="0"/>
        <w:ind w:left="2268"/>
        <w:jc w:val="both"/>
        <w:rPr>
          <w:rFonts w:ascii="Arial" w:hAnsi="Arial" w:cs="Arial"/>
          <w:sz w:val="20"/>
          <w:szCs w:val="20"/>
          <w:lang w:val="en-US"/>
        </w:rPr>
      </w:pPr>
      <w:r w:rsidRPr="0087237A">
        <w:rPr>
          <w:rFonts w:ascii="Arial" w:hAnsi="Arial" w:cs="Arial"/>
          <w:sz w:val="20"/>
          <w:szCs w:val="20"/>
          <w:lang w:val="en-US"/>
        </w:rPr>
        <w:t>c. Consequently, we uphold the Panel’s findings…that the DCR measures are not covered by the derogation under Article III: 8 (a) of the GATT 1994 and that, therefore, the DCR measures are inconsistent with Article 2.1 of the TRIMs Agreement and Article III.4 of the GATT 1994”.</w:t>
      </w:r>
    </w:p>
    <w:p w14:paraId="381B440B" w14:textId="77777777" w:rsidR="00D55B49" w:rsidRPr="004F35E6" w:rsidRDefault="00D55B49" w:rsidP="004F35E6">
      <w:pPr>
        <w:pStyle w:val="paranormaltext"/>
        <w:shd w:val="clear" w:color="auto" w:fill="FFFFFF"/>
        <w:spacing w:before="0" w:beforeAutospacing="0" w:after="0" w:afterAutospacing="0"/>
        <w:jc w:val="both"/>
        <w:rPr>
          <w:rFonts w:ascii="Arial" w:hAnsi="Arial" w:cs="Arial"/>
          <w:sz w:val="22"/>
          <w:szCs w:val="22"/>
          <w:lang w:val="en-US"/>
        </w:rPr>
      </w:pPr>
    </w:p>
    <w:p w14:paraId="090E3B08" w14:textId="77777777" w:rsidR="009B293D" w:rsidRPr="004F35E6" w:rsidRDefault="00E16CEE" w:rsidP="004F35E6">
      <w:pPr>
        <w:spacing w:after="0" w:line="240" w:lineRule="auto"/>
        <w:jc w:val="both"/>
        <w:rPr>
          <w:rFonts w:ascii="Arial" w:hAnsi="Arial" w:cs="Arial"/>
          <w:lang w:val="en-US"/>
        </w:rPr>
      </w:pPr>
      <w:r w:rsidRPr="004F35E6">
        <w:rPr>
          <w:rFonts w:ascii="Arial" w:hAnsi="Arial" w:cs="Arial"/>
          <w:lang w:val="en-US"/>
        </w:rPr>
        <w:tab/>
        <w:t>The adoption of such incentive measures to the renewable energy secto</w:t>
      </w:r>
      <w:r w:rsidR="005D2445" w:rsidRPr="004F35E6">
        <w:rPr>
          <w:rFonts w:ascii="Arial" w:hAnsi="Arial" w:cs="Arial"/>
          <w:lang w:val="en-US"/>
        </w:rPr>
        <w:t>r – however</w:t>
      </w:r>
      <w:r w:rsidRPr="004F35E6">
        <w:rPr>
          <w:rFonts w:ascii="Arial" w:hAnsi="Arial" w:cs="Arial"/>
          <w:lang w:val="en-US"/>
        </w:rPr>
        <w:t xml:space="preserve"> legitimate they may b</w:t>
      </w:r>
      <w:r w:rsidR="005D2445" w:rsidRPr="004F35E6">
        <w:rPr>
          <w:rFonts w:ascii="Arial" w:hAnsi="Arial" w:cs="Arial"/>
          <w:lang w:val="en-US"/>
        </w:rPr>
        <w:t>e – generate</w:t>
      </w:r>
      <w:r w:rsidRPr="004F35E6">
        <w:rPr>
          <w:rFonts w:ascii="Arial" w:hAnsi="Arial" w:cs="Arial"/>
          <w:lang w:val="en-US"/>
        </w:rPr>
        <w:t xml:space="preserve"> tensions and conflicts that test</w:t>
      </w:r>
      <w:r w:rsidR="005D2445" w:rsidRPr="004F35E6">
        <w:rPr>
          <w:rFonts w:ascii="Arial" w:hAnsi="Arial" w:cs="Arial"/>
          <w:lang w:val="en-US"/>
        </w:rPr>
        <w:t xml:space="preserve"> the limits of the WTO current rules. The </w:t>
      </w:r>
      <w:r w:rsidR="00F33538" w:rsidRPr="004F35E6">
        <w:rPr>
          <w:rFonts w:ascii="Arial" w:hAnsi="Arial" w:cs="Arial"/>
          <w:lang w:val="en-US"/>
        </w:rPr>
        <w:t xml:space="preserve">question arises </w:t>
      </w:r>
      <w:r w:rsidR="005D2445" w:rsidRPr="004F35E6">
        <w:rPr>
          <w:rFonts w:ascii="Arial" w:hAnsi="Arial" w:cs="Arial"/>
          <w:lang w:val="en-US"/>
        </w:rPr>
        <w:t xml:space="preserve">as to how to stimulate the </w:t>
      </w:r>
      <w:r w:rsidR="00C91CBB" w:rsidRPr="004F35E6">
        <w:rPr>
          <w:rFonts w:ascii="Arial" w:hAnsi="Arial" w:cs="Arial"/>
          <w:lang w:val="en-US"/>
        </w:rPr>
        <w:t>in</w:t>
      </w:r>
      <w:r w:rsidR="005D2445" w:rsidRPr="004F35E6">
        <w:rPr>
          <w:rFonts w:ascii="Arial" w:hAnsi="Arial" w:cs="Arial"/>
          <w:lang w:val="en-US"/>
        </w:rPr>
        <w:t>disputable need to develop this sector without necessarily violat</w:t>
      </w:r>
      <w:r w:rsidR="00C91CBB" w:rsidRPr="004F35E6">
        <w:rPr>
          <w:rFonts w:ascii="Arial" w:hAnsi="Arial" w:cs="Arial"/>
          <w:lang w:val="en-US"/>
        </w:rPr>
        <w:t>ing</w:t>
      </w:r>
      <w:r w:rsidR="005D2445" w:rsidRPr="004F35E6">
        <w:rPr>
          <w:rFonts w:ascii="Arial" w:hAnsi="Arial" w:cs="Arial"/>
          <w:lang w:val="en-US"/>
        </w:rPr>
        <w:t xml:space="preserve"> Articles III. 4 of GATT 1994 and 2.1 of the TRIMs or</w:t>
      </w:r>
      <w:r w:rsidR="00F33538" w:rsidRPr="004F35E6">
        <w:rPr>
          <w:rFonts w:ascii="Arial" w:hAnsi="Arial" w:cs="Arial"/>
          <w:lang w:val="en-US"/>
        </w:rPr>
        <w:t xml:space="preserve"> </w:t>
      </w:r>
      <w:r w:rsidR="00E4353D" w:rsidRPr="004F35E6">
        <w:rPr>
          <w:rFonts w:ascii="Arial" w:hAnsi="Arial" w:cs="Arial"/>
          <w:lang w:val="en-US"/>
        </w:rPr>
        <w:t xml:space="preserve">as to </w:t>
      </w:r>
      <w:r w:rsidR="005D2445" w:rsidRPr="004F35E6">
        <w:rPr>
          <w:rFonts w:ascii="Arial" w:hAnsi="Arial" w:cs="Arial"/>
          <w:lang w:val="en-US"/>
        </w:rPr>
        <w:t>which alternative policies could be implemented without the adoption of practices that</w:t>
      </w:r>
      <w:r w:rsidR="00C91CBB" w:rsidRPr="004F35E6">
        <w:rPr>
          <w:rFonts w:ascii="Arial" w:hAnsi="Arial" w:cs="Arial"/>
          <w:lang w:val="en-US"/>
        </w:rPr>
        <w:t xml:space="preserve"> also indisputably </w:t>
      </w:r>
      <w:r w:rsidR="00F33538" w:rsidRPr="004F35E6">
        <w:rPr>
          <w:rFonts w:ascii="Arial" w:hAnsi="Arial" w:cs="Arial"/>
          <w:lang w:val="en-US"/>
        </w:rPr>
        <w:t>restrict beyond the reasonable the free trade.</w:t>
      </w:r>
      <w:r w:rsidR="00DD18D5" w:rsidRPr="004F35E6">
        <w:rPr>
          <w:rFonts w:ascii="Arial" w:hAnsi="Arial" w:cs="Arial"/>
          <w:lang w:val="en-US"/>
        </w:rPr>
        <w:t xml:space="preserve"> </w:t>
      </w:r>
      <w:r w:rsidR="00E4353D" w:rsidRPr="004F35E6">
        <w:rPr>
          <w:rFonts w:ascii="Arial" w:hAnsi="Arial" w:cs="Arial"/>
          <w:lang w:val="en-US"/>
        </w:rPr>
        <w:tab/>
      </w:r>
    </w:p>
    <w:p w14:paraId="01FB5E01" w14:textId="77777777" w:rsidR="00E0632E" w:rsidRPr="004F35E6" w:rsidRDefault="009B293D" w:rsidP="004F35E6">
      <w:pPr>
        <w:spacing w:after="0" w:line="240" w:lineRule="auto"/>
        <w:jc w:val="both"/>
        <w:rPr>
          <w:rFonts w:ascii="Arial" w:hAnsi="Arial" w:cs="Arial"/>
          <w:lang w:val="en-US"/>
        </w:rPr>
      </w:pPr>
      <w:r w:rsidRPr="004F35E6">
        <w:rPr>
          <w:rFonts w:ascii="Arial" w:hAnsi="Arial" w:cs="Arial"/>
          <w:lang w:val="en-US"/>
        </w:rPr>
        <w:tab/>
      </w:r>
      <w:r w:rsidR="00D909C8" w:rsidRPr="004F35E6">
        <w:rPr>
          <w:rFonts w:ascii="Arial" w:hAnsi="Arial" w:cs="Arial"/>
          <w:lang w:val="en-US"/>
        </w:rPr>
        <w:t xml:space="preserve">Members could develop their renewable energy </w:t>
      </w:r>
      <w:proofErr w:type="spellStart"/>
      <w:r w:rsidR="00D909C8" w:rsidRPr="004F35E6">
        <w:rPr>
          <w:rFonts w:ascii="Arial" w:hAnsi="Arial" w:cs="Arial"/>
          <w:lang w:val="en-US"/>
        </w:rPr>
        <w:t>programmes</w:t>
      </w:r>
      <w:proofErr w:type="spellEnd"/>
      <w:r w:rsidR="00D909C8" w:rsidRPr="004F35E6">
        <w:rPr>
          <w:rFonts w:ascii="Arial" w:hAnsi="Arial" w:cs="Arial"/>
          <w:lang w:val="en-US"/>
        </w:rPr>
        <w:t xml:space="preserve"> without using LCRs. </w:t>
      </w:r>
      <w:r w:rsidR="00DD18D5" w:rsidRPr="004F35E6">
        <w:rPr>
          <w:rFonts w:ascii="Arial" w:hAnsi="Arial" w:cs="Arial"/>
          <w:lang w:val="en-US"/>
        </w:rPr>
        <w:t>As noted by Stephe</w:t>
      </w:r>
      <w:r w:rsidR="00024542" w:rsidRPr="004F35E6">
        <w:rPr>
          <w:rFonts w:ascii="Arial" w:hAnsi="Arial" w:cs="Arial"/>
          <w:lang w:val="en-US"/>
        </w:rPr>
        <w:t>nson</w:t>
      </w:r>
      <w:r w:rsidR="00882F9C">
        <w:rPr>
          <w:rFonts w:ascii="Arial" w:hAnsi="Arial" w:cs="Arial"/>
          <w:lang w:val="en-US"/>
        </w:rPr>
        <w:t xml:space="preserve"> (2013)</w:t>
      </w:r>
      <w:r w:rsidR="00024542" w:rsidRPr="004F35E6">
        <w:rPr>
          <w:rFonts w:ascii="Arial" w:hAnsi="Arial" w:cs="Arial"/>
          <w:lang w:val="en-US"/>
        </w:rPr>
        <w:t xml:space="preserve">, there are less </w:t>
      </w:r>
      <w:r w:rsidR="00DD18D5" w:rsidRPr="004F35E6">
        <w:rPr>
          <w:rFonts w:ascii="Arial" w:hAnsi="Arial" w:cs="Arial"/>
          <w:lang w:val="en-US"/>
        </w:rPr>
        <w:t xml:space="preserve">distorting </w:t>
      </w:r>
      <w:r w:rsidR="00024542" w:rsidRPr="004F35E6">
        <w:rPr>
          <w:rFonts w:ascii="Arial" w:hAnsi="Arial" w:cs="Arial"/>
          <w:lang w:val="en-US"/>
        </w:rPr>
        <w:t>options that “</w:t>
      </w:r>
      <w:r w:rsidR="00DD18D5" w:rsidRPr="004F35E6">
        <w:rPr>
          <w:rFonts w:ascii="Arial" w:hAnsi="Arial" w:cs="Arial"/>
          <w:lang w:val="en-US"/>
        </w:rPr>
        <w:t>would put less stress on the multilateral trading system and would serve to address the legitimate concern that countries have when they try to stimulate employment while pursuing climate and energy policies</w:t>
      </w:r>
      <w:r w:rsidR="00024542" w:rsidRPr="004F35E6">
        <w:rPr>
          <w:rFonts w:ascii="Arial" w:hAnsi="Arial" w:cs="Arial"/>
          <w:lang w:val="en-US"/>
        </w:rPr>
        <w:t>”</w:t>
      </w:r>
      <w:r w:rsidR="00DD18D5" w:rsidRPr="004F35E6">
        <w:rPr>
          <w:rFonts w:ascii="Arial" w:hAnsi="Arial" w:cs="Arial"/>
          <w:lang w:val="en-US"/>
        </w:rPr>
        <w:t xml:space="preserve">. </w:t>
      </w:r>
      <w:r w:rsidR="00024542" w:rsidRPr="004F35E6">
        <w:rPr>
          <w:rFonts w:ascii="Arial" w:hAnsi="Arial" w:cs="Arial"/>
          <w:lang w:val="en-US"/>
        </w:rPr>
        <w:t>Some of such options would include</w:t>
      </w:r>
      <w:r w:rsidR="00DD18D5" w:rsidRPr="004F35E6">
        <w:rPr>
          <w:rFonts w:ascii="Arial" w:hAnsi="Arial" w:cs="Arial"/>
          <w:lang w:val="en-US"/>
        </w:rPr>
        <w:t xml:space="preserve"> </w:t>
      </w:r>
      <w:r w:rsidR="00024542" w:rsidRPr="004F35E6">
        <w:rPr>
          <w:rFonts w:ascii="Arial" w:hAnsi="Arial" w:cs="Arial"/>
          <w:lang w:val="en-US"/>
        </w:rPr>
        <w:t>“</w:t>
      </w:r>
      <w:r w:rsidR="00DD18D5" w:rsidRPr="004F35E6">
        <w:rPr>
          <w:rFonts w:ascii="Arial" w:hAnsi="Arial" w:cs="Arial"/>
          <w:lang w:val="en-US"/>
        </w:rPr>
        <w:t>investment in infrastructure, promotion of government financing for infrastructure investment, creation of a better and more conducive business environment for firms in which to innovate toward more green technologies and targeted and well</w:t>
      </w:r>
      <w:r w:rsidR="00024542" w:rsidRPr="004F35E6">
        <w:rPr>
          <w:rFonts w:ascii="Arial" w:hAnsi="Arial" w:cs="Arial"/>
          <w:lang w:val="en-US"/>
        </w:rPr>
        <w:t xml:space="preserve"> </w:t>
      </w:r>
      <w:r w:rsidR="00DD18D5" w:rsidRPr="004F35E6">
        <w:rPr>
          <w:rFonts w:ascii="Arial" w:hAnsi="Arial" w:cs="Arial"/>
          <w:lang w:val="en-US"/>
        </w:rPr>
        <w:t xml:space="preserve">adapted training </w:t>
      </w:r>
      <w:proofErr w:type="spellStart"/>
      <w:r w:rsidR="00DD18D5" w:rsidRPr="004F35E6">
        <w:rPr>
          <w:rFonts w:ascii="Arial" w:hAnsi="Arial" w:cs="Arial"/>
          <w:lang w:val="en-US"/>
        </w:rPr>
        <w:t>programmes</w:t>
      </w:r>
      <w:proofErr w:type="spellEnd"/>
      <w:r w:rsidR="00DD18D5" w:rsidRPr="004F35E6">
        <w:rPr>
          <w:rFonts w:ascii="Arial" w:hAnsi="Arial" w:cs="Arial"/>
          <w:lang w:val="en-US"/>
        </w:rPr>
        <w:t xml:space="preserve"> for workers to allow them to develop skills for the energy sector with environmentally friendly technologies</w:t>
      </w:r>
      <w:r w:rsidR="00024542" w:rsidRPr="004F35E6">
        <w:rPr>
          <w:rFonts w:ascii="Arial" w:hAnsi="Arial" w:cs="Arial"/>
          <w:lang w:val="en-US"/>
        </w:rPr>
        <w:t>”</w:t>
      </w:r>
      <w:r w:rsidR="00DD18D5" w:rsidRPr="004F35E6">
        <w:rPr>
          <w:rFonts w:ascii="Arial" w:hAnsi="Arial" w:cs="Arial"/>
          <w:lang w:val="en-US"/>
        </w:rPr>
        <w:t>.</w:t>
      </w:r>
      <w:r w:rsidR="00DD11A5" w:rsidRPr="004F35E6">
        <w:rPr>
          <w:rStyle w:val="Refdenotaderodap"/>
          <w:rFonts w:ascii="Arial" w:hAnsi="Arial" w:cs="Arial"/>
          <w:lang w:val="en-US"/>
        </w:rPr>
        <w:footnoteReference w:id="23"/>
      </w:r>
      <w:r w:rsidR="00024542" w:rsidRPr="004F35E6">
        <w:rPr>
          <w:rFonts w:ascii="Arial" w:hAnsi="Arial" w:cs="Arial"/>
          <w:lang w:val="en-US"/>
        </w:rPr>
        <w:t xml:space="preserve"> </w:t>
      </w:r>
    </w:p>
    <w:p w14:paraId="2351F367" w14:textId="77777777" w:rsidR="00E0632E" w:rsidRPr="004F35E6" w:rsidRDefault="00E0632E" w:rsidP="004F35E6">
      <w:pPr>
        <w:spacing w:after="0" w:line="240" w:lineRule="auto"/>
        <w:jc w:val="both"/>
        <w:rPr>
          <w:rFonts w:ascii="Arial" w:hAnsi="Arial" w:cs="Arial"/>
          <w:lang w:val="en-US"/>
        </w:rPr>
      </w:pPr>
    </w:p>
    <w:p w14:paraId="19F38240" w14:textId="77777777" w:rsidR="00A30B33" w:rsidRPr="004F35E6" w:rsidRDefault="00E0632E" w:rsidP="004F35E6">
      <w:pPr>
        <w:spacing w:after="0" w:line="240" w:lineRule="auto"/>
        <w:jc w:val="both"/>
        <w:rPr>
          <w:rFonts w:ascii="Arial" w:hAnsi="Arial" w:cs="Arial"/>
          <w:lang w:val="en-US"/>
        </w:rPr>
      </w:pPr>
      <w:r w:rsidRPr="004F35E6">
        <w:rPr>
          <w:rFonts w:ascii="Arial" w:hAnsi="Arial" w:cs="Arial"/>
          <w:lang w:val="en-US"/>
        </w:rPr>
        <w:tab/>
        <w:t xml:space="preserve">Additionally, </w:t>
      </w:r>
      <w:r w:rsidR="00024542" w:rsidRPr="004F35E6">
        <w:rPr>
          <w:rFonts w:ascii="Arial" w:hAnsi="Arial" w:cs="Arial"/>
          <w:lang w:val="en-US"/>
        </w:rPr>
        <w:t>incentives to the production of renewable energy, such as the investment</w:t>
      </w:r>
      <w:r w:rsidRPr="004F35E6">
        <w:rPr>
          <w:rFonts w:ascii="Arial" w:hAnsi="Arial" w:cs="Arial"/>
          <w:lang w:val="en-US"/>
        </w:rPr>
        <w:t xml:space="preserve"> in research and development in solar technologies or other renewable technologies</w:t>
      </w:r>
      <w:r w:rsidR="00882F9C">
        <w:rPr>
          <w:rFonts w:ascii="Arial" w:hAnsi="Arial" w:cs="Arial"/>
          <w:lang w:val="en-US"/>
        </w:rPr>
        <w:t>,</w:t>
      </w:r>
      <w:r w:rsidRPr="004F35E6">
        <w:rPr>
          <w:rFonts w:ascii="Arial" w:hAnsi="Arial" w:cs="Arial"/>
          <w:lang w:val="en-US"/>
        </w:rPr>
        <w:t xml:space="preserve"> could be conceived and adopted as an alternative to the use of LCRs. It is therefore feasible </w:t>
      </w:r>
      <w:r w:rsidR="00BC0939" w:rsidRPr="004F35E6">
        <w:rPr>
          <w:rFonts w:ascii="Arial" w:hAnsi="Arial" w:cs="Arial"/>
          <w:lang w:val="en-US"/>
        </w:rPr>
        <w:t xml:space="preserve">for Members </w:t>
      </w:r>
      <w:r w:rsidRPr="004F35E6">
        <w:rPr>
          <w:rFonts w:ascii="Arial" w:hAnsi="Arial" w:cs="Arial"/>
          <w:lang w:val="en-US"/>
        </w:rPr>
        <w:t xml:space="preserve">to grant a more advantageous treatment to sources of renewable energy without </w:t>
      </w:r>
      <w:r w:rsidR="008D2B91" w:rsidRPr="004F35E6">
        <w:rPr>
          <w:rFonts w:ascii="Arial" w:hAnsi="Arial" w:cs="Arial"/>
          <w:lang w:val="en-US"/>
        </w:rPr>
        <w:t xml:space="preserve">imposing LCRs. </w:t>
      </w:r>
    </w:p>
    <w:p w14:paraId="2DD894D6" w14:textId="77777777" w:rsidR="00024542" w:rsidRPr="004F35E6" w:rsidRDefault="00024542" w:rsidP="004F35E6">
      <w:pPr>
        <w:spacing w:line="240" w:lineRule="auto"/>
        <w:jc w:val="both"/>
        <w:rPr>
          <w:rFonts w:ascii="Arial" w:hAnsi="Arial" w:cs="Arial"/>
          <w:lang w:val="en-US"/>
        </w:rPr>
      </w:pPr>
    </w:p>
    <w:p w14:paraId="68D2A96F" w14:textId="77777777" w:rsidR="0033077F" w:rsidRPr="004F35E6" w:rsidRDefault="0033077F" w:rsidP="004F35E6">
      <w:pPr>
        <w:spacing w:line="240" w:lineRule="auto"/>
        <w:jc w:val="both"/>
        <w:rPr>
          <w:rFonts w:ascii="Arial" w:hAnsi="Arial" w:cs="Arial"/>
          <w:b/>
          <w:lang w:val="en-US"/>
        </w:rPr>
      </w:pPr>
      <w:r w:rsidRPr="004F35E6">
        <w:rPr>
          <w:rFonts w:ascii="Arial" w:hAnsi="Arial" w:cs="Arial"/>
          <w:b/>
          <w:lang w:val="en-US"/>
        </w:rPr>
        <w:t>Concluding remarks</w:t>
      </w:r>
    </w:p>
    <w:p w14:paraId="74BB0367" w14:textId="77777777" w:rsidR="0033077F" w:rsidRPr="004F35E6" w:rsidRDefault="0033077F" w:rsidP="004F35E6">
      <w:pPr>
        <w:spacing w:line="240" w:lineRule="auto"/>
        <w:jc w:val="both"/>
        <w:rPr>
          <w:rFonts w:ascii="Arial" w:hAnsi="Arial" w:cs="Arial"/>
          <w:lang w:val="en-US"/>
        </w:rPr>
      </w:pPr>
      <w:r w:rsidRPr="004F35E6">
        <w:rPr>
          <w:rFonts w:ascii="Arial" w:hAnsi="Arial" w:cs="Arial"/>
          <w:b/>
          <w:lang w:val="en-US"/>
        </w:rPr>
        <w:tab/>
      </w:r>
      <w:r w:rsidR="00BC0939" w:rsidRPr="004F35E6">
        <w:rPr>
          <w:rFonts w:ascii="Arial" w:hAnsi="Arial" w:cs="Arial"/>
          <w:lang w:val="en-US"/>
        </w:rPr>
        <w:t xml:space="preserve">In their analyses of the cases examined herein, the Panel and the AB took into consideration the legal interpretations and the </w:t>
      </w:r>
      <w:r w:rsidR="00BC0939" w:rsidRPr="004F35E6">
        <w:rPr>
          <w:rFonts w:ascii="Arial" w:hAnsi="Arial" w:cs="Arial"/>
          <w:i/>
          <w:lang w:val="en-US"/>
        </w:rPr>
        <w:t>ratio decidendi</w:t>
      </w:r>
      <w:r w:rsidR="00BC0939" w:rsidRPr="004F35E6">
        <w:rPr>
          <w:rFonts w:ascii="Arial" w:hAnsi="Arial" w:cs="Arial"/>
          <w:lang w:val="en-US"/>
        </w:rPr>
        <w:t xml:space="preserve"> of prior cases. This</w:t>
      </w:r>
      <w:r w:rsidR="006424CE" w:rsidRPr="004F35E6">
        <w:rPr>
          <w:rFonts w:ascii="Arial" w:hAnsi="Arial" w:cs="Arial"/>
          <w:lang w:val="en-US"/>
        </w:rPr>
        <w:t xml:space="preserve"> became even clearer after they reiterated in </w:t>
      </w:r>
      <w:r w:rsidR="006424CE" w:rsidRPr="004F35E6">
        <w:rPr>
          <w:rFonts w:ascii="Arial" w:hAnsi="Arial" w:cs="Arial"/>
          <w:i/>
          <w:lang w:val="en-US"/>
        </w:rPr>
        <w:t>India –Solar Cells</w:t>
      </w:r>
      <w:r w:rsidR="006424CE" w:rsidRPr="004F35E6">
        <w:rPr>
          <w:rFonts w:ascii="Arial" w:hAnsi="Arial" w:cs="Arial"/>
          <w:lang w:val="en-US"/>
        </w:rPr>
        <w:t xml:space="preserve"> the controversial findings of the AB in </w:t>
      </w:r>
      <w:r w:rsidR="006424CE" w:rsidRPr="004F35E6">
        <w:rPr>
          <w:rFonts w:ascii="Arial" w:hAnsi="Arial" w:cs="Arial"/>
          <w:i/>
          <w:lang w:val="en-US"/>
        </w:rPr>
        <w:t>Canada Renewable Energy</w:t>
      </w:r>
      <w:r w:rsidR="006424CE" w:rsidRPr="004F35E6">
        <w:rPr>
          <w:rFonts w:ascii="Arial" w:hAnsi="Arial" w:cs="Arial"/>
          <w:lang w:val="en-US"/>
        </w:rPr>
        <w:t xml:space="preserve"> that significantly restricted the scope of what can be deemed Government Procurement, i.e. Members’ policy space to use LCRs as industrial policy tool. </w:t>
      </w:r>
    </w:p>
    <w:p w14:paraId="457E7ED4" w14:textId="77777777" w:rsidR="000D0CE1" w:rsidRPr="004F35E6" w:rsidRDefault="006424CE" w:rsidP="004F35E6">
      <w:pPr>
        <w:spacing w:line="240" w:lineRule="auto"/>
        <w:jc w:val="both"/>
        <w:rPr>
          <w:rFonts w:ascii="Arial" w:hAnsi="Arial" w:cs="Arial"/>
          <w:lang w:val="en-US"/>
        </w:rPr>
      </w:pPr>
      <w:r w:rsidRPr="004F35E6">
        <w:rPr>
          <w:rFonts w:ascii="Arial" w:hAnsi="Arial" w:cs="Arial"/>
          <w:lang w:val="en-US"/>
        </w:rPr>
        <w:tab/>
        <w:t>Regardless of the terminology</w:t>
      </w:r>
      <w:r w:rsidR="009B293D" w:rsidRPr="004F35E6">
        <w:rPr>
          <w:rFonts w:ascii="Arial" w:hAnsi="Arial" w:cs="Arial"/>
          <w:lang w:val="en-US"/>
        </w:rPr>
        <w:t xml:space="preserve"> used</w:t>
      </w:r>
      <w:r w:rsidRPr="004F35E6">
        <w:rPr>
          <w:rFonts w:ascii="Arial" w:hAnsi="Arial" w:cs="Arial"/>
          <w:lang w:val="en-US"/>
        </w:rPr>
        <w:t>, namely “</w:t>
      </w:r>
      <w:r w:rsidRPr="004F35E6">
        <w:rPr>
          <w:rFonts w:ascii="Arial" w:hAnsi="Arial" w:cs="Arial"/>
          <w:i/>
          <w:lang w:val="en-US"/>
        </w:rPr>
        <w:t xml:space="preserve">jurisprudence </w:t>
      </w:r>
      <w:proofErr w:type="spellStart"/>
      <w:r w:rsidRPr="004F35E6">
        <w:rPr>
          <w:rFonts w:ascii="Arial" w:hAnsi="Arial" w:cs="Arial"/>
          <w:i/>
          <w:lang w:val="en-US"/>
        </w:rPr>
        <w:t>constant</w:t>
      </w:r>
      <w:r w:rsidR="002D7944" w:rsidRPr="004F35E6">
        <w:rPr>
          <w:rFonts w:ascii="Arial" w:hAnsi="Arial" w:cs="Arial"/>
          <w:i/>
          <w:lang w:val="en-US"/>
        </w:rPr>
        <w:t>e</w:t>
      </w:r>
      <w:proofErr w:type="spellEnd"/>
      <w:r w:rsidRPr="004F35E6">
        <w:rPr>
          <w:rFonts w:ascii="Arial" w:hAnsi="Arial" w:cs="Arial"/>
          <w:lang w:val="en-US"/>
        </w:rPr>
        <w:t>” or “</w:t>
      </w:r>
      <w:r w:rsidRPr="004F35E6">
        <w:rPr>
          <w:rFonts w:ascii="Arial" w:hAnsi="Arial" w:cs="Arial"/>
          <w:i/>
          <w:lang w:val="en-US"/>
        </w:rPr>
        <w:t>de facto precedents</w:t>
      </w:r>
      <w:r w:rsidRPr="004F35E6">
        <w:rPr>
          <w:rFonts w:ascii="Arial" w:hAnsi="Arial" w:cs="Arial"/>
          <w:lang w:val="en-US"/>
        </w:rPr>
        <w:t xml:space="preserve">”, there exist unequivocal jurisprudential trends </w:t>
      </w:r>
      <w:r w:rsidR="00214139" w:rsidRPr="004F35E6">
        <w:rPr>
          <w:rFonts w:ascii="Arial" w:hAnsi="Arial" w:cs="Arial"/>
          <w:lang w:val="en-US"/>
        </w:rPr>
        <w:t xml:space="preserve">in connection with LCRs. </w:t>
      </w:r>
      <w:r w:rsidR="002D7944" w:rsidRPr="004F35E6">
        <w:rPr>
          <w:rFonts w:ascii="Arial" w:hAnsi="Arial" w:cs="Arial"/>
          <w:lang w:val="en-US"/>
        </w:rPr>
        <w:t>Such jurisprudential trends have been once more recently confirmed in</w:t>
      </w:r>
      <w:r w:rsidR="00D94543" w:rsidRPr="004F35E6">
        <w:rPr>
          <w:rFonts w:ascii="Arial" w:hAnsi="Arial" w:cs="Arial"/>
          <w:lang w:val="en-US"/>
        </w:rPr>
        <w:t xml:space="preserve"> </w:t>
      </w:r>
      <w:r w:rsidR="00D94543" w:rsidRPr="004F35E6">
        <w:rPr>
          <w:rFonts w:ascii="Arial" w:hAnsi="Arial" w:cs="Arial"/>
          <w:i/>
          <w:lang w:val="en-US"/>
        </w:rPr>
        <w:t>Brazil - Taxation</w:t>
      </w:r>
      <w:r w:rsidR="00D94543" w:rsidRPr="004F35E6">
        <w:rPr>
          <w:rStyle w:val="Refdenotaderodap"/>
          <w:rFonts w:ascii="Arial" w:hAnsi="Arial" w:cs="Arial"/>
          <w:i/>
          <w:lang w:val="en-US"/>
        </w:rPr>
        <w:footnoteReference w:id="24"/>
      </w:r>
      <w:r w:rsidR="00D94543" w:rsidRPr="004F35E6">
        <w:rPr>
          <w:rFonts w:ascii="Arial" w:hAnsi="Arial" w:cs="Arial"/>
          <w:lang w:val="en-US"/>
        </w:rPr>
        <w:t xml:space="preserve">. The Brazilian </w:t>
      </w:r>
      <w:proofErr w:type="spellStart"/>
      <w:r w:rsidR="00D94543" w:rsidRPr="004F35E6">
        <w:rPr>
          <w:rFonts w:ascii="Arial" w:hAnsi="Arial" w:cs="Arial"/>
          <w:lang w:val="en-US"/>
        </w:rPr>
        <w:t>Programmes</w:t>
      </w:r>
      <w:proofErr w:type="spellEnd"/>
      <w:r w:rsidR="00D94543" w:rsidRPr="004F35E6">
        <w:rPr>
          <w:rFonts w:ascii="Arial" w:hAnsi="Arial" w:cs="Arial"/>
          <w:lang w:val="en-US"/>
        </w:rPr>
        <w:t xml:space="preserve"> INOVAR-AUTO and ICT (Communication and Information Technology) were challenged on </w:t>
      </w:r>
      <w:r w:rsidR="007C5879" w:rsidRPr="004F35E6">
        <w:rPr>
          <w:rFonts w:ascii="Arial" w:hAnsi="Arial" w:cs="Arial"/>
          <w:lang w:val="en-US"/>
        </w:rPr>
        <w:t xml:space="preserve">the </w:t>
      </w:r>
      <w:r w:rsidR="00D94543" w:rsidRPr="004F35E6">
        <w:rPr>
          <w:rFonts w:ascii="Arial" w:hAnsi="Arial" w:cs="Arial"/>
          <w:lang w:val="en-US"/>
        </w:rPr>
        <w:t>grounds that they were</w:t>
      </w:r>
      <w:r w:rsidR="007C5879" w:rsidRPr="004F35E6">
        <w:rPr>
          <w:rFonts w:ascii="Arial" w:hAnsi="Arial" w:cs="Arial"/>
          <w:lang w:val="en-US"/>
        </w:rPr>
        <w:t xml:space="preserve">, among others, inconsistent with Articles III. 4 </w:t>
      </w:r>
      <w:r w:rsidR="00C839CB" w:rsidRPr="004F35E6">
        <w:rPr>
          <w:rFonts w:ascii="Arial" w:hAnsi="Arial" w:cs="Arial"/>
          <w:lang w:val="en-US"/>
        </w:rPr>
        <w:t xml:space="preserve">of GATT 1994 </w:t>
      </w:r>
      <w:r w:rsidR="007C5879" w:rsidRPr="004F35E6">
        <w:rPr>
          <w:rFonts w:ascii="Arial" w:hAnsi="Arial" w:cs="Arial"/>
          <w:lang w:val="en-US"/>
        </w:rPr>
        <w:t xml:space="preserve">and 2.1 of the TRIMs. As regards the INOVAR-AUTO, based on the fact that it requires or incentivizes the use of components produced in Brazil, as well as </w:t>
      </w:r>
      <w:r w:rsidR="006C00DE" w:rsidRPr="004F35E6">
        <w:rPr>
          <w:rFonts w:ascii="Arial" w:hAnsi="Arial" w:cs="Arial"/>
          <w:lang w:val="en-US"/>
        </w:rPr>
        <w:t xml:space="preserve">strategic </w:t>
      </w:r>
      <w:r w:rsidR="007C5879" w:rsidRPr="004F35E6">
        <w:rPr>
          <w:rFonts w:ascii="Arial" w:hAnsi="Arial" w:cs="Arial"/>
          <w:lang w:val="en-US"/>
        </w:rPr>
        <w:t>materials</w:t>
      </w:r>
      <w:r w:rsidR="006C00DE" w:rsidRPr="004F35E6">
        <w:rPr>
          <w:rFonts w:ascii="Arial" w:hAnsi="Arial" w:cs="Arial"/>
          <w:lang w:val="en-US"/>
        </w:rPr>
        <w:t xml:space="preserve"> and inputs and laboratory equipment in the production of vehicles engines for motor vehicles so that the latter could be granted tax benefits, the Panel found that such requirements conceded less </w:t>
      </w:r>
      <w:proofErr w:type="spellStart"/>
      <w:r w:rsidR="006C00DE" w:rsidRPr="004F35E6">
        <w:rPr>
          <w:rFonts w:ascii="Arial" w:hAnsi="Arial" w:cs="Arial"/>
          <w:lang w:val="en-US"/>
        </w:rPr>
        <w:t>favourable</w:t>
      </w:r>
      <w:proofErr w:type="spellEnd"/>
      <w:r w:rsidR="006C00DE" w:rsidRPr="004F35E6">
        <w:rPr>
          <w:rFonts w:ascii="Arial" w:hAnsi="Arial" w:cs="Arial"/>
          <w:lang w:val="en-US"/>
        </w:rPr>
        <w:t xml:space="preserve"> treatment to imported products in relation to similar domestic products, being thereby</w:t>
      </w:r>
      <w:r w:rsidR="00140404" w:rsidRPr="004F35E6">
        <w:rPr>
          <w:rFonts w:ascii="Arial" w:hAnsi="Arial" w:cs="Arial"/>
          <w:lang w:val="en-US"/>
        </w:rPr>
        <w:t xml:space="preserve"> inconsistent with Article III. 4 of GATT 1994.</w:t>
      </w:r>
      <w:r w:rsidR="006C00DE" w:rsidRPr="004F35E6">
        <w:rPr>
          <w:rFonts w:ascii="Arial" w:hAnsi="Arial" w:cs="Arial"/>
          <w:lang w:val="en-US"/>
        </w:rPr>
        <w:t xml:space="preserve"> </w:t>
      </w:r>
      <w:r w:rsidR="001B003B" w:rsidRPr="004F35E6">
        <w:rPr>
          <w:rFonts w:ascii="Arial" w:hAnsi="Arial" w:cs="Arial"/>
          <w:lang w:val="en-US"/>
        </w:rPr>
        <w:t xml:space="preserve"> Pursuant to the Panel:</w:t>
      </w:r>
    </w:p>
    <w:p w14:paraId="20D460F6" w14:textId="77777777" w:rsidR="001B003B" w:rsidRPr="0087237A" w:rsidRDefault="001B003B" w:rsidP="004F35E6">
      <w:pPr>
        <w:spacing w:line="240" w:lineRule="auto"/>
        <w:ind w:left="2268"/>
        <w:jc w:val="both"/>
        <w:rPr>
          <w:rFonts w:ascii="Arial" w:hAnsi="Arial" w:cs="Arial"/>
          <w:sz w:val="20"/>
          <w:szCs w:val="20"/>
          <w:lang w:val="en-US"/>
        </w:rPr>
      </w:pPr>
      <w:r w:rsidRPr="0087237A">
        <w:rPr>
          <w:rFonts w:ascii="Arial" w:hAnsi="Arial" w:cs="Arial"/>
          <w:sz w:val="20"/>
          <w:szCs w:val="20"/>
          <w:lang w:val="en-US"/>
        </w:rPr>
        <w:t xml:space="preserve">“7.772. In light of the foregoing, the Panel concludes that the INOVAR-AUTO </w:t>
      </w:r>
      <w:proofErr w:type="spellStart"/>
      <w:r w:rsidRPr="0087237A">
        <w:rPr>
          <w:rFonts w:ascii="Arial" w:hAnsi="Arial" w:cs="Arial"/>
          <w:sz w:val="20"/>
          <w:szCs w:val="20"/>
          <w:lang w:val="en-US"/>
        </w:rPr>
        <w:t>programme</w:t>
      </w:r>
      <w:proofErr w:type="spellEnd"/>
      <w:r w:rsidRPr="0087237A">
        <w:rPr>
          <w:rFonts w:ascii="Arial" w:hAnsi="Arial" w:cs="Arial"/>
          <w:sz w:val="20"/>
          <w:szCs w:val="20"/>
          <w:lang w:val="en-US"/>
        </w:rPr>
        <w:t xml:space="preserve">, the conditions for accreditation in order to receive presumed tax credits, rules on accrual of presumed tax credits, and rules on use of presumed tax credits resulting from expenditure in strategic inputs and tools in Brazil accord less </w:t>
      </w:r>
      <w:proofErr w:type="spellStart"/>
      <w:r w:rsidRPr="0087237A">
        <w:rPr>
          <w:rFonts w:ascii="Arial" w:hAnsi="Arial" w:cs="Arial"/>
          <w:sz w:val="20"/>
          <w:szCs w:val="20"/>
          <w:lang w:val="en-US"/>
        </w:rPr>
        <w:t>favourable</w:t>
      </w:r>
      <w:proofErr w:type="spellEnd"/>
      <w:r w:rsidRPr="0087237A">
        <w:rPr>
          <w:rFonts w:ascii="Arial" w:hAnsi="Arial" w:cs="Arial"/>
          <w:sz w:val="20"/>
          <w:szCs w:val="20"/>
          <w:lang w:val="en-US"/>
        </w:rPr>
        <w:t xml:space="preserve"> treatment to imported products than that accorded to like domestic products, inconsistently with Article III:4 of the GATT 1994”.</w:t>
      </w:r>
    </w:p>
    <w:p w14:paraId="0E987DF5" w14:textId="77777777" w:rsidR="001B003B" w:rsidRPr="0087237A" w:rsidRDefault="001B003B" w:rsidP="004F35E6">
      <w:pPr>
        <w:spacing w:line="240" w:lineRule="auto"/>
        <w:ind w:left="2268"/>
        <w:jc w:val="both"/>
        <w:rPr>
          <w:rFonts w:ascii="Arial" w:hAnsi="Arial" w:cs="Arial"/>
          <w:sz w:val="20"/>
          <w:szCs w:val="20"/>
          <w:lang w:val="en-US"/>
        </w:rPr>
      </w:pPr>
      <w:r w:rsidRPr="0087237A">
        <w:rPr>
          <w:rFonts w:ascii="Arial" w:hAnsi="Arial" w:cs="Arial"/>
          <w:sz w:val="20"/>
          <w:szCs w:val="20"/>
          <w:lang w:val="en-US"/>
        </w:rPr>
        <w:t xml:space="preserve">“7.773. Additionally, the Panel concludes that (a) the accreditation requirement to perform a minimum number of manufacturing steps in Brazil: (b) the rules on accrual of presumed tax credits, with respect to purchases of strategic inputs and tools; and (c) that aspect of the accreditation requirements in respect of expenditure and investment in R&amp;D in Brazil, pertaining to the purchase of Brazilian laboratory equipment; accord less </w:t>
      </w:r>
      <w:proofErr w:type="spellStart"/>
      <w:r w:rsidRPr="0087237A">
        <w:rPr>
          <w:rFonts w:ascii="Arial" w:hAnsi="Arial" w:cs="Arial"/>
          <w:sz w:val="20"/>
          <w:szCs w:val="20"/>
          <w:lang w:val="en-US"/>
        </w:rPr>
        <w:t>favourable</w:t>
      </w:r>
      <w:proofErr w:type="spellEnd"/>
      <w:r w:rsidRPr="0087237A">
        <w:rPr>
          <w:rFonts w:ascii="Arial" w:hAnsi="Arial" w:cs="Arial"/>
          <w:sz w:val="20"/>
          <w:szCs w:val="20"/>
          <w:lang w:val="en-US"/>
        </w:rPr>
        <w:t xml:space="preserve"> trea</w:t>
      </w:r>
      <w:r w:rsidR="00BE1314" w:rsidRPr="0087237A">
        <w:rPr>
          <w:rFonts w:ascii="Arial" w:hAnsi="Arial" w:cs="Arial"/>
          <w:sz w:val="20"/>
          <w:szCs w:val="20"/>
          <w:lang w:val="en-US"/>
        </w:rPr>
        <w:t>tment to imported products than that accorded to like domestic products, inconsistently with Article III: 4 of the GATT 1994</w:t>
      </w:r>
      <w:r w:rsidR="00E15BF2" w:rsidRPr="0087237A">
        <w:rPr>
          <w:rFonts w:ascii="Arial" w:hAnsi="Arial" w:cs="Arial"/>
          <w:sz w:val="20"/>
          <w:szCs w:val="20"/>
          <w:lang w:val="en-US"/>
        </w:rPr>
        <w:t>…</w:t>
      </w:r>
      <w:r w:rsidR="00BE1314" w:rsidRPr="0087237A">
        <w:rPr>
          <w:rFonts w:ascii="Arial" w:hAnsi="Arial" w:cs="Arial"/>
          <w:sz w:val="20"/>
          <w:szCs w:val="20"/>
          <w:lang w:val="en-US"/>
        </w:rPr>
        <w:t>”.</w:t>
      </w:r>
    </w:p>
    <w:p w14:paraId="0B24E983" w14:textId="77777777" w:rsidR="001B003B" w:rsidRPr="004F30E1" w:rsidRDefault="001B003B" w:rsidP="004F35E6">
      <w:pPr>
        <w:spacing w:line="240" w:lineRule="auto"/>
        <w:jc w:val="both"/>
        <w:rPr>
          <w:rFonts w:ascii="Arial" w:hAnsi="Arial" w:cs="Arial"/>
          <w:sz w:val="20"/>
          <w:szCs w:val="20"/>
          <w:lang w:val="en-US"/>
        </w:rPr>
      </w:pPr>
    </w:p>
    <w:p w14:paraId="221F0156" w14:textId="77777777" w:rsidR="002D7944" w:rsidRPr="004F35E6" w:rsidRDefault="000D0CE1" w:rsidP="004F35E6">
      <w:pPr>
        <w:spacing w:line="240" w:lineRule="auto"/>
        <w:jc w:val="both"/>
        <w:rPr>
          <w:rFonts w:ascii="Arial" w:hAnsi="Arial" w:cs="Arial"/>
          <w:lang w:val="en-US"/>
        </w:rPr>
      </w:pPr>
      <w:r w:rsidRPr="004F35E6">
        <w:rPr>
          <w:rFonts w:ascii="Arial" w:hAnsi="Arial" w:cs="Arial"/>
          <w:lang w:val="en-US"/>
        </w:rPr>
        <w:tab/>
      </w:r>
      <w:r w:rsidR="00140404" w:rsidRPr="004F35E6">
        <w:rPr>
          <w:rFonts w:ascii="Arial" w:hAnsi="Arial" w:cs="Arial"/>
          <w:lang w:val="en-US"/>
        </w:rPr>
        <w:t xml:space="preserve">Moreover, in the Panel’s view, the INOVAR-AUTO falls into Paragraph 1 (a) of the Illustrative List of the TRIMs insofar as it requires that eligible companies purchase or use products of national origin or from local sources with respect to certain inputs to obtain reductions of </w:t>
      </w:r>
      <w:r w:rsidR="0045152D" w:rsidRPr="004F35E6">
        <w:rPr>
          <w:rFonts w:ascii="Arial" w:hAnsi="Arial" w:cs="Arial"/>
          <w:lang w:val="en-US"/>
        </w:rPr>
        <w:t>the “</w:t>
      </w:r>
      <w:proofErr w:type="spellStart"/>
      <w:r w:rsidR="00140404" w:rsidRPr="004F35E6">
        <w:rPr>
          <w:rFonts w:ascii="Arial" w:hAnsi="Arial" w:cs="Arial"/>
          <w:i/>
          <w:lang w:val="en-US"/>
        </w:rPr>
        <w:t>Imposto</w:t>
      </w:r>
      <w:proofErr w:type="spellEnd"/>
      <w:r w:rsidR="00140404" w:rsidRPr="004F35E6">
        <w:rPr>
          <w:rFonts w:ascii="Arial" w:hAnsi="Arial" w:cs="Arial"/>
          <w:i/>
          <w:lang w:val="en-US"/>
        </w:rPr>
        <w:t xml:space="preserve"> </w:t>
      </w:r>
      <w:proofErr w:type="spellStart"/>
      <w:r w:rsidR="00140404" w:rsidRPr="004F35E6">
        <w:rPr>
          <w:rFonts w:ascii="Arial" w:hAnsi="Arial" w:cs="Arial"/>
          <w:i/>
          <w:lang w:val="en-US"/>
        </w:rPr>
        <w:t>sobre</w:t>
      </w:r>
      <w:proofErr w:type="spellEnd"/>
      <w:r w:rsidR="00140404" w:rsidRPr="004F35E6">
        <w:rPr>
          <w:rFonts w:ascii="Arial" w:hAnsi="Arial" w:cs="Arial"/>
          <w:i/>
          <w:lang w:val="en-US"/>
        </w:rPr>
        <w:t xml:space="preserve"> </w:t>
      </w:r>
      <w:proofErr w:type="spellStart"/>
      <w:r w:rsidR="00140404" w:rsidRPr="004F35E6">
        <w:rPr>
          <w:rFonts w:ascii="Arial" w:hAnsi="Arial" w:cs="Arial"/>
          <w:i/>
          <w:lang w:val="en-US"/>
        </w:rPr>
        <w:t>Produtos</w:t>
      </w:r>
      <w:proofErr w:type="spellEnd"/>
      <w:r w:rsidR="00140404" w:rsidRPr="004F35E6">
        <w:rPr>
          <w:rFonts w:ascii="Arial" w:hAnsi="Arial" w:cs="Arial"/>
          <w:i/>
          <w:lang w:val="en-US"/>
        </w:rPr>
        <w:t xml:space="preserve"> </w:t>
      </w:r>
      <w:proofErr w:type="spellStart"/>
      <w:r w:rsidR="00140404" w:rsidRPr="004F35E6">
        <w:rPr>
          <w:rFonts w:ascii="Arial" w:hAnsi="Arial" w:cs="Arial"/>
          <w:i/>
          <w:lang w:val="en-US"/>
        </w:rPr>
        <w:t>Industrializados</w:t>
      </w:r>
      <w:proofErr w:type="spellEnd"/>
      <w:r w:rsidR="00140404" w:rsidRPr="004F35E6">
        <w:rPr>
          <w:rFonts w:ascii="Arial" w:hAnsi="Arial" w:cs="Arial"/>
          <w:i/>
          <w:lang w:val="en-US"/>
        </w:rPr>
        <w:t xml:space="preserve"> (IPI)</w:t>
      </w:r>
      <w:r w:rsidR="0045152D" w:rsidRPr="004F35E6">
        <w:rPr>
          <w:rFonts w:ascii="Arial" w:hAnsi="Arial" w:cs="Arial"/>
          <w:lang w:val="en-US"/>
        </w:rPr>
        <w:t>”</w:t>
      </w:r>
      <w:r w:rsidR="00C839CB" w:rsidRPr="004F35E6">
        <w:rPr>
          <w:rFonts w:ascii="Arial" w:hAnsi="Arial" w:cs="Arial"/>
          <w:lang w:val="en-US"/>
        </w:rPr>
        <w:t>,</w:t>
      </w:r>
      <w:r w:rsidR="00140404" w:rsidRPr="004F35E6">
        <w:rPr>
          <w:rFonts w:ascii="Arial" w:hAnsi="Arial" w:cs="Arial"/>
          <w:lang w:val="en-US"/>
        </w:rPr>
        <w:t xml:space="preserve"> a sort of tax on manufacture.</w:t>
      </w:r>
      <w:r w:rsidR="00E15BF2" w:rsidRPr="004F35E6">
        <w:rPr>
          <w:rFonts w:ascii="Arial" w:hAnsi="Arial" w:cs="Arial"/>
          <w:lang w:val="en-US"/>
        </w:rPr>
        <w:t xml:space="preserve"> The Panel said:</w:t>
      </w:r>
    </w:p>
    <w:p w14:paraId="1A83034E" w14:textId="77777777" w:rsidR="00E15BF2" w:rsidRPr="0087237A" w:rsidRDefault="00E15BF2" w:rsidP="004F35E6">
      <w:pPr>
        <w:spacing w:line="240" w:lineRule="auto"/>
        <w:ind w:left="2268"/>
        <w:jc w:val="both"/>
        <w:rPr>
          <w:rFonts w:ascii="Arial" w:hAnsi="Arial" w:cs="Arial"/>
          <w:sz w:val="20"/>
          <w:szCs w:val="20"/>
          <w:lang w:val="en-US"/>
        </w:rPr>
      </w:pPr>
      <w:r w:rsidRPr="0087237A">
        <w:rPr>
          <w:rFonts w:ascii="Arial" w:hAnsi="Arial" w:cs="Arial"/>
          <w:sz w:val="20"/>
          <w:szCs w:val="20"/>
          <w:lang w:val="en-US"/>
        </w:rPr>
        <w:t>“7.805 Additionally, the Panel notes that the local content requirements identified and discuss</w:t>
      </w:r>
      <w:r w:rsidR="00943CFD" w:rsidRPr="0087237A">
        <w:rPr>
          <w:rFonts w:ascii="Arial" w:hAnsi="Arial" w:cs="Arial"/>
          <w:sz w:val="20"/>
          <w:szCs w:val="20"/>
          <w:lang w:val="en-US"/>
        </w:rPr>
        <w:t xml:space="preserve">ed </w:t>
      </w:r>
      <w:r w:rsidRPr="0087237A">
        <w:rPr>
          <w:rFonts w:ascii="Arial" w:hAnsi="Arial" w:cs="Arial"/>
          <w:sz w:val="20"/>
          <w:szCs w:val="20"/>
          <w:lang w:val="en-US"/>
        </w:rPr>
        <w:t>in sections….above “require the purchase or use by an enterprise of products of domestic origin or from domestic purchase”, as referred to in paragraph 1 (a) of the Illustrative List annex</w:t>
      </w:r>
      <w:r w:rsidR="00943CFD" w:rsidRPr="0087237A">
        <w:rPr>
          <w:rFonts w:ascii="Arial" w:hAnsi="Arial" w:cs="Arial"/>
          <w:sz w:val="20"/>
          <w:szCs w:val="20"/>
          <w:lang w:val="en-US"/>
        </w:rPr>
        <w:t>ed</w:t>
      </w:r>
      <w:r w:rsidRPr="0087237A">
        <w:rPr>
          <w:rFonts w:ascii="Arial" w:hAnsi="Arial" w:cs="Arial"/>
          <w:sz w:val="20"/>
          <w:szCs w:val="20"/>
          <w:lang w:val="en-US"/>
        </w:rPr>
        <w:t xml:space="preserve"> to the TRIMs Agreement. Pursuant to Article 2.2 of the TRIMs Agreement</w:t>
      </w:r>
      <w:r w:rsidR="00943CFD" w:rsidRPr="0087237A">
        <w:rPr>
          <w:rFonts w:ascii="Arial" w:hAnsi="Arial" w:cs="Arial"/>
          <w:sz w:val="20"/>
          <w:szCs w:val="20"/>
          <w:lang w:val="en-US"/>
        </w:rPr>
        <w:t>,</w:t>
      </w:r>
      <w:r w:rsidRPr="0087237A">
        <w:rPr>
          <w:rFonts w:ascii="Arial" w:hAnsi="Arial" w:cs="Arial"/>
          <w:sz w:val="20"/>
          <w:szCs w:val="20"/>
          <w:lang w:val="en-US"/>
        </w:rPr>
        <w:t xml:space="preserve"> a TRIM </w:t>
      </w:r>
      <w:r w:rsidR="00943CFD" w:rsidRPr="0087237A">
        <w:rPr>
          <w:rFonts w:ascii="Arial" w:hAnsi="Arial" w:cs="Arial"/>
          <w:sz w:val="20"/>
          <w:szCs w:val="20"/>
          <w:lang w:val="en-US"/>
        </w:rPr>
        <w:t xml:space="preserve">of the Illustrative List is </w:t>
      </w:r>
      <w:r w:rsidR="00943CFD" w:rsidRPr="0087237A">
        <w:rPr>
          <w:rFonts w:ascii="Arial" w:hAnsi="Arial" w:cs="Arial"/>
          <w:b/>
          <w:sz w:val="20"/>
          <w:szCs w:val="20"/>
          <w:lang w:val="en-US"/>
        </w:rPr>
        <w:t>per se</w:t>
      </w:r>
      <w:r w:rsidR="00943CFD" w:rsidRPr="0087237A">
        <w:rPr>
          <w:rFonts w:ascii="Arial" w:hAnsi="Arial" w:cs="Arial"/>
          <w:sz w:val="20"/>
          <w:szCs w:val="20"/>
          <w:lang w:val="en-US"/>
        </w:rPr>
        <w:t xml:space="preserve"> inconsistent with Article III:4 of the GATT 1994, and therefore inconsistent with Article 2.1 of the TRIMs Agreement…”.</w:t>
      </w:r>
    </w:p>
    <w:p w14:paraId="2F22909E" w14:textId="77777777" w:rsidR="00E15BF2" w:rsidRPr="004F30E1" w:rsidRDefault="00E15BF2" w:rsidP="004F35E6">
      <w:pPr>
        <w:spacing w:line="240" w:lineRule="auto"/>
        <w:jc w:val="both"/>
        <w:rPr>
          <w:rFonts w:ascii="Arial" w:hAnsi="Arial" w:cs="Arial"/>
          <w:sz w:val="20"/>
          <w:szCs w:val="20"/>
          <w:lang w:val="en-US"/>
        </w:rPr>
      </w:pPr>
    </w:p>
    <w:p w14:paraId="5C12C999" w14:textId="77777777" w:rsidR="000D0CE1" w:rsidRPr="004F35E6" w:rsidRDefault="000D0CE1" w:rsidP="004F35E6">
      <w:pPr>
        <w:spacing w:line="240" w:lineRule="auto"/>
        <w:jc w:val="both"/>
        <w:rPr>
          <w:rFonts w:ascii="Arial" w:hAnsi="Arial" w:cs="Arial"/>
          <w:lang w:val="en-US"/>
        </w:rPr>
      </w:pPr>
      <w:r w:rsidRPr="004F35E6">
        <w:rPr>
          <w:rFonts w:ascii="Arial" w:hAnsi="Arial" w:cs="Arial"/>
          <w:lang w:val="en-US"/>
        </w:rPr>
        <w:tab/>
        <w:t xml:space="preserve">Under the ICT </w:t>
      </w:r>
      <w:proofErr w:type="spellStart"/>
      <w:r w:rsidRPr="004F35E6">
        <w:rPr>
          <w:rFonts w:ascii="Arial" w:hAnsi="Arial" w:cs="Arial"/>
          <w:lang w:val="en-US"/>
        </w:rPr>
        <w:t>Programme</w:t>
      </w:r>
      <w:proofErr w:type="spellEnd"/>
      <w:r w:rsidRPr="004F35E6">
        <w:rPr>
          <w:rFonts w:ascii="Arial" w:hAnsi="Arial" w:cs="Arial"/>
          <w:lang w:val="en-US"/>
        </w:rPr>
        <w:t xml:space="preserve">, </w:t>
      </w:r>
      <w:r w:rsidR="0045152D" w:rsidRPr="004F35E6">
        <w:rPr>
          <w:rFonts w:ascii="Arial" w:hAnsi="Arial" w:cs="Arial"/>
          <w:lang w:val="en-US"/>
        </w:rPr>
        <w:t>the tax benefit is conditioned on</w:t>
      </w:r>
      <w:r w:rsidR="004C14CC" w:rsidRPr="004F35E6">
        <w:rPr>
          <w:rFonts w:ascii="Arial" w:hAnsi="Arial" w:cs="Arial"/>
          <w:lang w:val="en-US"/>
        </w:rPr>
        <w:t xml:space="preserve"> specific inputs of certain products and/or specific amounts or proportions of such inputs being domestically supplied so that the use of imported inputs may disqualify a final product to</w:t>
      </w:r>
      <w:r w:rsidR="00C63E7B" w:rsidRPr="004F35E6">
        <w:rPr>
          <w:rFonts w:ascii="Arial" w:hAnsi="Arial" w:cs="Arial"/>
          <w:lang w:val="en-US"/>
        </w:rPr>
        <w:t xml:space="preserve"> be included in</w:t>
      </w:r>
      <w:r w:rsidR="00D16D3F" w:rsidRPr="004F35E6">
        <w:rPr>
          <w:rFonts w:ascii="Arial" w:hAnsi="Arial" w:cs="Arial"/>
          <w:lang w:val="en-US"/>
        </w:rPr>
        <w:t xml:space="preserve"> and get the benefit from</w:t>
      </w:r>
      <w:r w:rsidR="00C63E7B" w:rsidRPr="004F35E6">
        <w:rPr>
          <w:rFonts w:ascii="Arial" w:hAnsi="Arial" w:cs="Arial"/>
          <w:lang w:val="en-US"/>
        </w:rPr>
        <w:t xml:space="preserve"> the </w:t>
      </w:r>
      <w:proofErr w:type="spellStart"/>
      <w:r w:rsidR="00C63E7B" w:rsidRPr="004F35E6">
        <w:rPr>
          <w:rFonts w:ascii="Arial" w:hAnsi="Arial" w:cs="Arial"/>
          <w:lang w:val="en-US"/>
        </w:rPr>
        <w:t>Programme</w:t>
      </w:r>
      <w:proofErr w:type="spellEnd"/>
      <w:r w:rsidR="00C63E7B" w:rsidRPr="004F35E6">
        <w:rPr>
          <w:rFonts w:ascii="Arial" w:hAnsi="Arial" w:cs="Arial"/>
          <w:lang w:val="en-US"/>
        </w:rPr>
        <w:t>. According to the Panel, this condition entails</w:t>
      </w:r>
      <w:r w:rsidR="00EC6043" w:rsidRPr="004F35E6">
        <w:rPr>
          <w:rFonts w:ascii="Arial" w:hAnsi="Arial" w:cs="Arial"/>
          <w:lang w:val="en-US"/>
        </w:rPr>
        <w:t xml:space="preserve"> less </w:t>
      </w:r>
      <w:proofErr w:type="spellStart"/>
      <w:r w:rsidR="00EC6043" w:rsidRPr="004F35E6">
        <w:rPr>
          <w:rFonts w:ascii="Arial" w:hAnsi="Arial" w:cs="Arial"/>
          <w:lang w:val="en-US"/>
        </w:rPr>
        <w:t>favourable</w:t>
      </w:r>
      <w:proofErr w:type="spellEnd"/>
      <w:r w:rsidR="00EC6043" w:rsidRPr="004F35E6">
        <w:rPr>
          <w:rFonts w:ascii="Arial" w:hAnsi="Arial" w:cs="Arial"/>
          <w:lang w:val="en-US"/>
        </w:rPr>
        <w:t xml:space="preserve"> treatment to imported products, which </w:t>
      </w:r>
      <w:r w:rsidR="0022403A" w:rsidRPr="004F35E6">
        <w:rPr>
          <w:rFonts w:ascii="Arial" w:hAnsi="Arial" w:cs="Arial"/>
          <w:lang w:val="en-US"/>
        </w:rPr>
        <w:t>is in violation of</w:t>
      </w:r>
      <w:r w:rsidR="00EC6043" w:rsidRPr="004F35E6">
        <w:rPr>
          <w:rFonts w:ascii="Arial" w:hAnsi="Arial" w:cs="Arial"/>
          <w:lang w:val="en-US"/>
        </w:rPr>
        <w:t xml:space="preserve"> Article III. 4 of GATT 1994.</w:t>
      </w:r>
      <w:r w:rsidR="0022403A" w:rsidRPr="004F35E6">
        <w:rPr>
          <w:rFonts w:ascii="Arial" w:hAnsi="Arial" w:cs="Arial"/>
          <w:lang w:val="en-US"/>
        </w:rPr>
        <w:t xml:space="preserve"> The Panel also found that the ICT </w:t>
      </w:r>
      <w:proofErr w:type="spellStart"/>
      <w:r w:rsidR="0022403A" w:rsidRPr="004F35E6">
        <w:rPr>
          <w:rFonts w:ascii="Arial" w:hAnsi="Arial" w:cs="Arial"/>
          <w:lang w:val="en-US"/>
        </w:rPr>
        <w:t>Programme</w:t>
      </w:r>
      <w:proofErr w:type="spellEnd"/>
      <w:r w:rsidR="0022403A" w:rsidRPr="004F35E6">
        <w:rPr>
          <w:rFonts w:ascii="Arial" w:hAnsi="Arial" w:cs="Arial"/>
          <w:lang w:val="en-US"/>
        </w:rPr>
        <w:t xml:space="preserve"> was inconsistent with Article 2.1 of the TRIMs.</w:t>
      </w:r>
      <w:r w:rsidR="00D014AC" w:rsidRPr="004F35E6">
        <w:rPr>
          <w:rFonts w:ascii="Arial" w:hAnsi="Arial" w:cs="Arial"/>
          <w:lang w:val="en-US"/>
        </w:rPr>
        <w:t xml:space="preserve"> The Panel said:</w:t>
      </w:r>
    </w:p>
    <w:p w14:paraId="57CCE85E" w14:textId="77777777" w:rsidR="00D014AC" w:rsidRPr="0087237A" w:rsidRDefault="00D014AC" w:rsidP="004F35E6">
      <w:pPr>
        <w:spacing w:line="240" w:lineRule="auto"/>
        <w:ind w:left="2268"/>
        <w:jc w:val="both"/>
        <w:rPr>
          <w:rFonts w:ascii="Arial" w:hAnsi="Arial" w:cs="Arial"/>
          <w:sz w:val="20"/>
          <w:szCs w:val="20"/>
          <w:lang w:val="en-US"/>
        </w:rPr>
      </w:pPr>
      <w:r w:rsidRPr="0087237A">
        <w:rPr>
          <w:rFonts w:ascii="Arial" w:hAnsi="Arial" w:cs="Arial"/>
          <w:sz w:val="20"/>
          <w:szCs w:val="20"/>
          <w:lang w:val="en-US"/>
        </w:rPr>
        <w:t>“7.365 In light of the foregoing, the Panel concludes that the Info</w:t>
      </w:r>
      <w:r w:rsidR="006E4D04" w:rsidRPr="0087237A">
        <w:rPr>
          <w:rFonts w:ascii="Arial" w:hAnsi="Arial" w:cs="Arial"/>
          <w:sz w:val="20"/>
          <w:szCs w:val="20"/>
          <w:lang w:val="en-US"/>
        </w:rPr>
        <w:t xml:space="preserve">rmatics, Digital Inclusion, PATVD and PADIS </w:t>
      </w:r>
      <w:proofErr w:type="spellStart"/>
      <w:r w:rsidR="006E4D04" w:rsidRPr="0087237A">
        <w:rPr>
          <w:rFonts w:ascii="Arial" w:hAnsi="Arial" w:cs="Arial"/>
          <w:sz w:val="20"/>
          <w:szCs w:val="20"/>
          <w:lang w:val="en-US"/>
        </w:rPr>
        <w:t>programmes</w:t>
      </w:r>
      <w:proofErr w:type="spellEnd"/>
      <w:r w:rsidR="006E4D04" w:rsidRPr="0087237A">
        <w:rPr>
          <w:rFonts w:ascii="Arial" w:hAnsi="Arial" w:cs="Arial"/>
          <w:sz w:val="20"/>
          <w:szCs w:val="20"/>
          <w:lang w:val="en-US"/>
        </w:rPr>
        <w:t xml:space="preserve"> constitute trade related investment measures, and that the aspects of these </w:t>
      </w:r>
      <w:proofErr w:type="spellStart"/>
      <w:r w:rsidR="006E4D04" w:rsidRPr="0087237A">
        <w:rPr>
          <w:rFonts w:ascii="Arial" w:hAnsi="Arial" w:cs="Arial"/>
          <w:sz w:val="20"/>
          <w:szCs w:val="20"/>
          <w:lang w:val="en-US"/>
        </w:rPr>
        <w:t>programmes</w:t>
      </w:r>
      <w:proofErr w:type="spellEnd"/>
      <w:r w:rsidR="006E4D04" w:rsidRPr="0087237A">
        <w:rPr>
          <w:rFonts w:ascii="Arial" w:hAnsi="Arial" w:cs="Arial"/>
          <w:sz w:val="20"/>
          <w:szCs w:val="20"/>
          <w:lang w:val="en-US"/>
        </w:rPr>
        <w:t xml:space="preserve"> found to be inconsistent with Article III.2 and III. 4</w:t>
      </w:r>
      <w:r w:rsidR="006E4D04" w:rsidRPr="004F30E1">
        <w:rPr>
          <w:rFonts w:ascii="Arial" w:hAnsi="Arial" w:cs="Arial"/>
          <w:i/>
          <w:sz w:val="20"/>
          <w:szCs w:val="20"/>
          <w:lang w:val="en-US"/>
        </w:rPr>
        <w:t xml:space="preserve"> </w:t>
      </w:r>
      <w:r w:rsidR="006E4D04" w:rsidRPr="0087237A">
        <w:rPr>
          <w:rFonts w:ascii="Arial" w:hAnsi="Arial" w:cs="Arial"/>
          <w:sz w:val="20"/>
          <w:szCs w:val="20"/>
          <w:lang w:val="en-US"/>
        </w:rPr>
        <w:t>of the GATT 1994 are also inconsistent with Article 2.1 of the TRIMs Agreement”.</w:t>
      </w:r>
    </w:p>
    <w:p w14:paraId="6AFB4CAA" w14:textId="77777777" w:rsidR="002A3326" w:rsidRPr="004F30E1" w:rsidRDefault="00BF3C67" w:rsidP="004F35E6">
      <w:pPr>
        <w:spacing w:line="240" w:lineRule="auto"/>
        <w:jc w:val="both"/>
        <w:rPr>
          <w:rFonts w:ascii="Arial" w:hAnsi="Arial" w:cs="Arial"/>
          <w:sz w:val="20"/>
          <w:szCs w:val="20"/>
          <w:lang w:val="en-US"/>
        </w:rPr>
      </w:pPr>
      <w:r w:rsidRPr="004F30E1">
        <w:rPr>
          <w:rFonts w:ascii="Arial" w:hAnsi="Arial" w:cs="Arial"/>
          <w:sz w:val="20"/>
          <w:szCs w:val="20"/>
          <w:lang w:val="en-US"/>
        </w:rPr>
        <w:tab/>
      </w:r>
    </w:p>
    <w:p w14:paraId="45B912E3" w14:textId="77777777" w:rsidR="00BF3C67" w:rsidRPr="004F35E6" w:rsidRDefault="002A3326" w:rsidP="004F35E6">
      <w:pPr>
        <w:spacing w:line="240" w:lineRule="auto"/>
        <w:jc w:val="both"/>
        <w:rPr>
          <w:rFonts w:ascii="Arial" w:hAnsi="Arial" w:cs="Arial"/>
          <w:lang w:val="en-US"/>
        </w:rPr>
      </w:pPr>
      <w:r w:rsidRPr="004F35E6">
        <w:rPr>
          <w:rFonts w:ascii="Arial" w:hAnsi="Arial" w:cs="Arial"/>
          <w:lang w:val="en-US"/>
        </w:rPr>
        <w:tab/>
      </w:r>
      <w:r w:rsidR="0022403A" w:rsidRPr="004F35E6">
        <w:rPr>
          <w:rFonts w:ascii="Arial" w:hAnsi="Arial" w:cs="Arial"/>
          <w:lang w:val="en-US"/>
        </w:rPr>
        <w:t>As can be noted, a</w:t>
      </w:r>
      <w:r w:rsidR="00214139" w:rsidRPr="004F35E6">
        <w:rPr>
          <w:rFonts w:ascii="Arial" w:hAnsi="Arial" w:cs="Arial"/>
          <w:lang w:val="en-US"/>
        </w:rPr>
        <w:t>dvantages and benefits that may come to be granted by Members, conditioned on the use of LCRs, will hardly be considered consistent with Articles III. 4 of GATT 1994 and 2.1 of the TRIMs. Findings and recommendations by the WTO adjudicating bodies in this matter may have a deterrent effect on Members.</w:t>
      </w:r>
      <w:r w:rsidR="009B293D" w:rsidRPr="004F35E6">
        <w:rPr>
          <w:rFonts w:ascii="Arial" w:hAnsi="Arial" w:cs="Arial"/>
          <w:lang w:val="en-US"/>
        </w:rPr>
        <w:t xml:space="preserve"> The coherent and consistent interpretations of the Panel and the AB, which characterize these jurisprudential trends, may induce Members to, at least, review or adapt their practices concerning LCRs. </w:t>
      </w:r>
    </w:p>
    <w:p w14:paraId="6816757D" w14:textId="77777777" w:rsidR="003C6344" w:rsidRPr="004F35E6" w:rsidRDefault="00BF3C67" w:rsidP="004F35E6">
      <w:pPr>
        <w:spacing w:line="240" w:lineRule="auto"/>
        <w:jc w:val="both"/>
        <w:rPr>
          <w:rFonts w:ascii="Arial" w:hAnsi="Arial" w:cs="Arial"/>
          <w:lang w:val="en-US"/>
        </w:rPr>
      </w:pPr>
      <w:r w:rsidRPr="004F35E6">
        <w:rPr>
          <w:rFonts w:ascii="Arial" w:hAnsi="Arial" w:cs="Arial"/>
          <w:lang w:val="en-US"/>
        </w:rPr>
        <w:tab/>
      </w:r>
      <w:r w:rsidR="009B293D" w:rsidRPr="004F35E6">
        <w:rPr>
          <w:rFonts w:ascii="Arial" w:hAnsi="Arial" w:cs="Arial"/>
          <w:lang w:val="en-US"/>
        </w:rPr>
        <w:t xml:space="preserve">Such jurisprudential trends may have – to use </w:t>
      </w:r>
      <w:proofErr w:type="spellStart"/>
      <w:r w:rsidR="009B293D" w:rsidRPr="004F35E6">
        <w:rPr>
          <w:rFonts w:ascii="Arial" w:hAnsi="Arial" w:cs="Arial"/>
          <w:lang w:val="en-US"/>
        </w:rPr>
        <w:t>Bohanes</w:t>
      </w:r>
      <w:proofErr w:type="spellEnd"/>
      <w:r w:rsidR="009B293D" w:rsidRPr="004F35E6">
        <w:rPr>
          <w:rFonts w:ascii="Arial" w:hAnsi="Arial" w:cs="Arial"/>
          <w:lang w:val="en-US"/>
        </w:rPr>
        <w:t xml:space="preserve"> words</w:t>
      </w:r>
      <w:r w:rsidR="004F30E1">
        <w:rPr>
          <w:rFonts w:ascii="Arial" w:hAnsi="Arial" w:cs="Arial"/>
          <w:lang w:val="en-US"/>
        </w:rPr>
        <w:t xml:space="preserve"> again</w:t>
      </w:r>
      <w:r w:rsidR="009B293D" w:rsidRPr="004F35E6">
        <w:rPr>
          <w:rFonts w:ascii="Arial" w:hAnsi="Arial" w:cs="Arial"/>
          <w:lang w:val="en-US"/>
        </w:rPr>
        <w:t xml:space="preserve"> – a “chilling impact”</w:t>
      </w:r>
      <w:r w:rsidR="003C6344" w:rsidRPr="004F35E6">
        <w:rPr>
          <w:rStyle w:val="Refdenotaderodap"/>
          <w:rFonts w:ascii="Arial" w:hAnsi="Arial" w:cs="Arial"/>
          <w:lang w:val="en-US"/>
        </w:rPr>
        <w:t xml:space="preserve"> </w:t>
      </w:r>
      <w:r w:rsidR="009B293D" w:rsidRPr="004F35E6">
        <w:rPr>
          <w:rFonts w:ascii="Arial" w:hAnsi="Arial" w:cs="Arial"/>
          <w:lang w:val="en-US"/>
        </w:rPr>
        <w:t>on Members</w:t>
      </w:r>
      <w:r w:rsidR="003C6344" w:rsidRPr="004F35E6">
        <w:rPr>
          <w:rFonts w:ascii="Arial" w:hAnsi="Arial" w:cs="Arial"/>
          <w:lang w:val="en-US"/>
        </w:rPr>
        <w:t>’</w:t>
      </w:r>
      <w:r w:rsidR="009B293D" w:rsidRPr="004F35E6">
        <w:rPr>
          <w:rFonts w:ascii="Arial" w:hAnsi="Arial" w:cs="Arial"/>
          <w:lang w:val="en-US"/>
        </w:rPr>
        <w:t xml:space="preserve"> intention to </w:t>
      </w:r>
      <w:r w:rsidR="0074183C" w:rsidRPr="004F35E6">
        <w:rPr>
          <w:rFonts w:ascii="Arial" w:hAnsi="Arial" w:cs="Arial"/>
          <w:lang w:val="en-US"/>
        </w:rPr>
        <w:t>adopt this model of industrial policy, including Brazil.</w:t>
      </w:r>
      <w:r w:rsidRPr="004F35E6">
        <w:rPr>
          <w:rFonts w:ascii="Arial" w:hAnsi="Arial" w:cs="Arial"/>
          <w:lang w:val="en-US"/>
        </w:rPr>
        <w:t xml:space="preserve"> </w:t>
      </w:r>
      <w:bookmarkStart w:id="5" w:name="_Hlk506390955"/>
      <w:r w:rsidRPr="004F35E6">
        <w:rPr>
          <w:rFonts w:ascii="Arial" w:hAnsi="Arial" w:cs="Arial"/>
          <w:lang w:val="en-US"/>
        </w:rPr>
        <w:t>Additionally, they are very much in line with the changing nature of the industrialization</w:t>
      </w:r>
      <w:r w:rsidRPr="004F35E6">
        <w:rPr>
          <w:rStyle w:val="Refdenotaderodap"/>
          <w:rFonts w:ascii="Arial" w:hAnsi="Arial" w:cs="Arial"/>
          <w:lang w:val="en-US"/>
        </w:rPr>
        <w:footnoteReference w:id="25"/>
      </w:r>
      <w:r w:rsidR="003C6344" w:rsidRPr="004F35E6">
        <w:rPr>
          <w:rFonts w:ascii="Arial" w:hAnsi="Arial" w:cs="Arial"/>
          <w:lang w:val="en-US"/>
        </w:rPr>
        <w:t xml:space="preserve"> and t</w:t>
      </w:r>
      <w:r w:rsidR="0086177F" w:rsidRPr="004F35E6">
        <w:rPr>
          <w:rFonts w:ascii="Arial" w:hAnsi="Arial" w:cs="Arial"/>
          <w:lang w:val="en-US"/>
        </w:rPr>
        <w:t>he evolution of the global trading</w:t>
      </w:r>
      <w:r w:rsidR="003C6344" w:rsidRPr="004F35E6">
        <w:rPr>
          <w:rFonts w:ascii="Arial" w:hAnsi="Arial" w:cs="Arial"/>
          <w:lang w:val="en-US"/>
        </w:rPr>
        <w:t xml:space="preserve"> system. The new </w:t>
      </w:r>
      <w:r w:rsidR="0086177F" w:rsidRPr="004F35E6">
        <w:rPr>
          <w:rFonts w:ascii="Arial" w:hAnsi="Arial" w:cs="Arial"/>
          <w:lang w:val="en-US"/>
        </w:rPr>
        <w:t>architecture of the global trading</w:t>
      </w:r>
      <w:r w:rsidR="003C6344" w:rsidRPr="004F35E6">
        <w:rPr>
          <w:rFonts w:ascii="Arial" w:hAnsi="Arial" w:cs="Arial"/>
          <w:lang w:val="en-US"/>
        </w:rPr>
        <w:t xml:space="preserve"> system requires new tools of industrial or inc</w:t>
      </w:r>
      <w:r w:rsidR="00A82479" w:rsidRPr="004F35E6">
        <w:rPr>
          <w:rFonts w:ascii="Arial" w:hAnsi="Arial" w:cs="Arial"/>
          <w:lang w:val="en-US"/>
        </w:rPr>
        <w:t>entive policies that are consentaneous</w:t>
      </w:r>
      <w:r w:rsidR="003C6344" w:rsidRPr="004F35E6">
        <w:rPr>
          <w:rFonts w:ascii="Arial" w:hAnsi="Arial" w:cs="Arial"/>
          <w:lang w:val="en-US"/>
        </w:rPr>
        <w:t xml:space="preserve"> with an economy ever more integrated into the global value chains in which discriminatory measures of LCRs are likely to lose relevance and purpose increasingly.</w:t>
      </w:r>
    </w:p>
    <w:bookmarkEnd w:id="5"/>
    <w:p w14:paraId="40A6333F" w14:textId="77777777" w:rsidR="003C6344" w:rsidRPr="004F35E6" w:rsidRDefault="003C6344" w:rsidP="004F35E6">
      <w:pPr>
        <w:spacing w:line="240" w:lineRule="auto"/>
        <w:jc w:val="both"/>
        <w:rPr>
          <w:rFonts w:ascii="Arial" w:hAnsi="Arial" w:cs="Arial"/>
          <w:lang w:val="en-US"/>
        </w:rPr>
      </w:pPr>
      <w:r w:rsidRPr="004F35E6">
        <w:rPr>
          <w:rFonts w:ascii="Arial" w:hAnsi="Arial" w:cs="Arial"/>
          <w:lang w:val="en-US"/>
        </w:rPr>
        <w:tab/>
      </w:r>
      <w:r w:rsidR="007F61E7" w:rsidRPr="004F35E6">
        <w:rPr>
          <w:rFonts w:ascii="Arial" w:hAnsi="Arial" w:cs="Arial"/>
          <w:lang w:val="en-US"/>
        </w:rPr>
        <w:t>The reduction of LCRs discriminatory measures would stimulate the international investment across developing and developed Members alike, fostering new opportunities of growing and economic development, as well as exportation.</w:t>
      </w:r>
    </w:p>
    <w:p w14:paraId="4308D4DF" w14:textId="77777777" w:rsidR="006424CE" w:rsidRPr="004F35E6" w:rsidRDefault="003C6344" w:rsidP="00FB20C2">
      <w:pPr>
        <w:spacing w:line="360" w:lineRule="auto"/>
        <w:jc w:val="both"/>
        <w:rPr>
          <w:rFonts w:ascii="Arial" w:hAnsi="Arial" w:cs="Arial"/>
          <w:lang w:val="en-US"/>
        </w:rPr>
      </w:pPr>
      <w:r w:rsidRPr="004F35E6">
        <w:rPr>
          <w:rFonts w:ascii="Arial" w:hAnsi="Arial" w:cs="Arial"/>
          <w:lang w:val="en-US"/>
        </w:rPr>
        <w:tab/>
        <w:t xml:space="preserve"> </w:t>
      </w:r>
    </w:p>
    <w:p w14:paraId="44DB58CF" w14:textId="77777777" w:rsidR="00207CFC" w:rsidRPr="00575D0C" w:rsidRDefault="00207CFC" w:rsidP="00FB20C2">
      <w:pPr>
        <w:spacing w:line="360" w:lineRule="auto"/>
        <w:jc w:val="both"/>
        <w:rPr>
          <w:rFonts w:ascii="Arial" w:hAnsi="Arial" w:cs="Arial"/>
          <w:b/>
          <w:sz w:val="24"/>
          <w:szCs w:val="24"/>
          <w:lang w:val="en-US"/>
        </w:rPr>
      </w:pPr>
      <w:r w:rsidRPr="00575D0C">
        <w:rPr>
          <w:rFonts w:ascii="Arial" w:hAnsi="Arial" w:cs="Arial"/>
          <w:b/>
          <w:sz w:val="24"/>
          <w:szCs w:val="24"/>
          <w:lang w:val="en-US"/>
        </w:rPr>
        <w:t>REFERENCES</w:t>
      </w:r>
    </w:p>
    <w:p w14:paraId="2DEAE952" w14:textId="77777777" w:rsidR="00575D0C" w:rsidRDefault="00207CFC" w:rsidP="00575D0C">
      <w:pPr>
        <w:spacing w:line="240" w:lineRule="auto"/>
        <w:jc w:val="both"/>
        <w:rPr>
          <w:rFonts w:ascii="Arial" w:hAnsi="Arial" w:cs="Arial"/>
          <w:lang w:val="en-US"/>
        </w:rPr>
      </w:pPr>
      <w:proofErr w:type="spellStart"/>
      <w:r w:rsidRPr="00575D0C">
        <w:rPr>
          <w:rFonts w:ascii="Arial" w:hAnsi="Arial" w:cs="Arial"/>
          <w:lang w:val="en-US"/>
        </w:rPr>
        <w:t>B</w:t>
      </w:r>
      <w:r w:rsidR="00BA5744" w:rsidRPr="00575D0C">
        <w:rPr>
          <w:rFonts w:ascii="Arial" w:hAnsi="Arial" w:cs="Arial"/>
          <w:lang w:val="en-US"/>
        </w:rPr>
        <w:t>ohanes</w:t>
      </w:r>
      <w:proofErr w:type="spellEnd"/>
      <w:r w:rsidR="00BA5744" w:rsidRPr="00575D0C">
        <w:rPr>
          <w:rFonts w:ascii="Arial" w:hAnsi="Arial" w:cs="Arial"/>
          <w:lang w:val="en-US"/>
        </w:rPr>
        <w:t xml:space="preserve"> J</w:t>
      </w:r>
      <w:r w:rsidRPr="00575D0C">
        <w:rPr>
          <w:rFonts w:ascii="Arial" w:hAnsi="Arial" w:cs="Arial"/>
          <w:lang w:val="en-US"/>
        </w:rPr>
        <w:t xml:space="preserve">. </w:t>
      </w:r>
      <w:r w:rsidR="00BA5744" w:rsidRPr="00575D0C">
        <w:rPr>
          <w:rFonts w:ascii="Arial" w:hAnsi="Arial" w:cs="Arial"/>
          <w:lang w:val="en-US"/>
        </w:rPr>
        <w:t xml:space="preserve">(2015) </w:t>
      </w:r>
      <w:r w:rsidRPr="00C21C90">
        <w:rPr>
          <w:rFonts w:ascii="Arial" w:hAnsi="Arial" w:cs="Arial"/>
          <w:lang w:val="en-US"/>
        </w:rPr>
        <w:t>WTO</w:t>
      </w:r>
      <w:r w:rsidRPr="00575D0C">
        <w:rPr>
          <w:rFonts w:ascii="Arial" w:hAnsi="Arial" w:cs="Arial"/>
          <w:i/>
          <w:lang w:val="en-US"/>
        </w:rPr>
        <w:t xml:space="preserve"> </w:t>
      </w:r>
      <w:r w:rsidRPr="00C21C90">
        <w:rPr>
          <w:rFonts w:ascii="Arial" w:hAnsi="Arial" w:cs="Arial"/>
          <w:lang w:val="en-US"/>
        </w:rPr>
        <w:t>Dispute Settlement and Industrial Policy</w:t>
      </w:r>
      <w:r w:rsidRPr="00575D0C">
        <w:rPr>
          <w:rFonts w:ascii="Arial" w:hAnsi="Arial" w:cs="Arial"/>
          <w:lang w:val="en-US"/>
        </w:rPr>
        <w:t>. E15 Initiativ</w:t>
      </w:r>
      <w:r w:rsidR="006146BD">
        <w:rPr>
          <w:rFonts w:ascii="Arial" w:hAnsi="Arial" w:cs="Arial"/>
          <w:lang w:val="en-US"/>
        </w:rPr>
        <w:t xml:space="preserve">e - </w:t>
      </w:r>
      <w:r w:rsidRPr="00575D0C">
        <w:rPr>
          <w:rFonts w:ascii="Arial" w:hAnsi="Arial" w:cs="Arial"/>
          <w:lang w:val="en-US"/>
        </w:rPr>
        <w:t xml:space="preserve">  International Centre for Trade and Sustainable Development (ICTSD) and World Economic Forum</w:t>
      </w:r>
      <w:r w:rsidR="00C21C90">
        <w:rPr>
          <w:rFonts w:ascii="Arial" w:hAnsi="Arial" w:cs="Arial"/>
          <w:lang w:val="en-US"/>
        </w:rPr>
        <w:t>.</w:t>
      </w:r>
      <w:r w:rsidRPr="00575D0C">
        <w:rPr>
          <w:rFonts w:ascii="Arial" w:hAnsi="Arial" w:cs="Arial"/>
          <w:lang w:val="en-US"/>
        </w:rPr>
        <w:t xml:space="preserve"> </w:t>
      </w:r>
      <w:r w:rsidR="00C21C90">
        <w:rPr>
          <w:rFonts w:ascii="Arial" w:hAnsi="Arial" w:cs="Arial"/>
          <w:lang w:val="en-US"/>
        </w:rPr>
        <w:t>Geneva</w:t>
      </w:r>
      <w:r w:rsidRPr="00575D0C">
        <w:rPr>
          <w:rFonts w:ascii="Arial" w:hAnsi="Arial" w:cs="Arial"/>
          <w:lang w:val="en-US"/>
        </w:rPr>
        <w:t>, p.2</w:t>
      </w:r>
      <w:r w:rsidR="00C21C90">
        <w:rPr>
          <w:rFonts w:ascii="Arial" w:hAnsi="Arial" w:cs="Arial"/>
          <w:lang w:val="en-US"/>
        </w:rPr>
        <w:t>.</w:t>
      </w:r>
      <w:r w:rsidRPr="00575D0C">
        <w:rPr>
          <w:rFonts w:ascii="Arial" w:hAnsi="Arial" w:cs="Arial"/>
          <w:lang w:val="en-US"/>
        </w:rPr>
        <w:t xml:space="preserve"> </w:t>
      </w:r>
      <w:hyperlink r:id="rId8" w:history="1">
        <w:r w:rsidR="00C21C90" w:rsidRPr="003A1524">
          <w:rPr>
            <w:rStyle w:val="Hyperlink"/>
            <w:rFonts w:ascii="Arial" w:hAnsi="Arial" w:cs="Arial"/>
            <w:lang w:val="en-US"/>
          </w:rPr>
          <w:t>www.e15initiative.org</w:t>
        </w:r>
      </w:hyperlink>
      <w:r w:rsidRPr="00575D0C">
        <w:rPr>
          <w:rFonts w:ascii="Arial" w:hAnsi="Arial" w:cs="Arial"/>
          <w:lang w:val="en-US"/>
        </w:rPr>
        <w:t>.</w:t>
      </w:r>
      <w:r w:rsidR="00C21C90">
        <w:rPr>
          <w:rFonts w:ascii="Arial" w:hAnsi="Arial" w:cs="Arial"/>
          <w:lang w:val="en-US"/>
        </w:rPr>
        <w:t xml:space="preserve"> </w:t>
      </w:r>
      <w:r w:rsidR="00B45158">
        <w:rPr>
          <w:rFonts w:ascii="Arial" w:hAnsi="Arial" w:cs="Arial"/>
          <w:lang w:val="en-US"/>
        </w:rPr>
        <w:t>Accessed</w:t>
      </w:r>
      <w:r w:rsidR="00B45158" w:rsidRPr="00575D0C">
        <w:rPr>
          <w:rFonts w:ascii="Arial" w:hAnsi="Arial" w:cs="Arial"/>
          <w:lang w:val="en-US"/>
        </w:rPr>
        <w:t xml:space="preserve"> </w:t>
      </w:r>
      <w:r w:rsidR="00187C67">
        <w:rPr>
          <w:rFonts w:ascii="Arial" w:hAnsi="Arial" w:cs="Arial"/>
          <w:lang w:val="en-US"/>
        </w:rPr>
        <w:t>on</w:t>
      </w:r>
      <w:r w:rsidR="00C21C90">
        <w:rPr>
          <w:rFonts w:ascii="Arial" w:hAnsi="Arial" w:cs="Arial"/>
          <w:lang w:val="en-US"/>
        </w:rPr>
        <w:t xml:space="preserve"> March</w:t>
      </w:r>
      <w:r w:rsidR="00187C67">
        <w:rPr>
          <w:rFonts w:ascii="Arial" w:hAnsi="Arial" w:cs="Arial"/>
          <w:lang w:val="en-US"/>
        </w:rPr>
        <w:t xml:space="preserve"> 2,</w:t>
      </w:r>
      <w:r w:rsidR="00C21C90">
        <w:rPr>
          <w:rFonts w:ascii="Arial" w:hAnsi="Arial" w:cs="Arial"/>
          <w:lang w:val="en-US"/>
        </w:rPr>
        <w:t xml:space="preserve"> 2016.</w:t>
      </w:r>
    </w:p>
    <w:p w14:paraId="2805CCC0" w14:textId="77777777" w:rsidR="00E150DC" w:rsidRPr="00575D0C" w:rsidRDefault="00C21C90" w:rsidP="00575D0C">
      <w:pPr>
        <w:spacing w:line="240" w:lineRule="auto"/>
        <w:jc w:val="both"/>
        <w:rPr>
          <w:rFonts w:ascii="Arial" w:hAnsi="Arial" w:cs="Arial"/>
          <w:lang w:val="en-US"/>
        </w:rPr>
      </w:pPr>
      <w:r>
        <w:rPr>
          <w:rFonts w:ascii="Arial" w:hAnsi="Arial" w:cs="Arial"/>
          <w:lang w:val="en-US"/>
        </w:rPr>
        <w:t>Cimino, C,</w:t>
      </w:r>
      <w:r w:rsidR="00E150DC" w:rsidRPr="00575D0C">
        <w:rPr>
          <w:rFonts w:ascii="Arial" w:hAnsi="Arial" w:cs="Arial"/>
          <w:lang w:val="en-US"/>
        </w:rPr>
        <w:t xml:space="preserve"> </w:t>
      </w:r>
      <w:proofErr w:type="spellStart"/>
      <w:r w:rsidR="00E150DC" w:rsidRPr="00575D0C">
        <w:rPr>
          <w:rFonts w:ascii="Arial" w:hAnsi="Arial" w:cs="Arial"/>
          <w:lang w:val="en-US"/>
        </w:rPr>
        <w:t>H</w:t>
      </w:r>
      <w:r>
        <w:rPr>
          <w:rFonts w:ascii="Arial" w:hAnsi="Arial" w:cs="Arial"/>
          <w:lang w:val="en-US"/>
        </w:rPr>
        <w:t>ufbauer</w:t>
      </w:r>
      <w:proofErr w:type="spellEnd"/>
      <w:r>
        <w:rPr>
          <w:rFonts w:ascii="Arial" w:hAnsi="Arial" w:cs="Arial"/>
          <w:lang w:val="en-US"/>
        </w:rPr>
        <w:t>, G.C,</w:t>
      </w:r>
      <w:r w:rsidR="00E150DC" w:rsidRPr="00575D0C">
        <w:rPr>
          <w:rFonts w:ascii="Arial" w:hAnsi="Arial" w:cs="Arial"/>
          <w:lang w:val="en-US"/>
        </w:rPr>
        <w:t xml:space="preserve"> </w:t>
      </w:r>
      <w:proofErr w:type="spellStart"/>
      <w:r w:rsidR="00E150DC" w:rsidRPr="00575D0C">
        <w:rPr>
          <w:rFonts w:ascii="Arial" w:hAnsi="Arial" w:cs="Arial"/>
          <w:lang w:val="en-US"/>
        </w:rPr>
        <w:t>S</w:t>
      </w:r>
      <w:r>
        <w:rPr>
          <w:rFonts w:ascii="Arial" w:hAnsi="Arial" w:cs="Arial"/>
          <w:lang w:val="en-US"/>
        </w:rPr>
        <w:t>choot</w:t>
      </w:r>
      <w:proofErr w:type="spellEnd"/>
      <w:r>
        <w:rPr>
          <w:rFonts w:ascii="Arial" w:hAnsi="Arial" w:cs="Arial"/>
          <w:lang w:val="en-US"/>
        </w:rPr>
        <w:t>, J.</w:t>
      </w:r>
      <w:r w:rsidR="00E150DC" w:rsidRPr="00575D0C">
        <w:rPr>
          <w:rFonts w:ascii="Arial" w:hAnsi="Arial" w:cs="Arial"/>
          <w:lang w:val="en-US"/>
        </w:rPr>
        <w:t xml:space="preserve"> A Proposed Code to Discipline Local Content Requirements</w:t>
      </w:r>
      <w:r>
        <w:rPr>
          <w:rFonts w:ascii="Arial" w:hAnsi="Arial" w:cs="Arial"/>
          <w:lang w:val="en-US"/>
        </w:rPr>
        <w:t>.</w:t>
      </w:r>
      <w:r w:rsidR="00E150DC" w:rsidRPr="00575D0C">
        <w:rPr>
          <w:rFonts w:ascii="Arial" w:hAnsi="Arial" w:cs="Arial"/>
          <w:i/>
          <w:lang w:val="en-US"/>
        </w:rPr>
        <w:t xml:space="preserve"> </w:t>
      </w:r>
      <w:r w:rsidR="00E150DC" w:rsidRPr="00C21C90">
        <w:rPr>
          <w:rFonts w:ascii="Arial" w:hAnsi="Arial" w:cs="Arial"/>
          <w:lang w:val="en-US"/>
        </w:rPr>
        <w:t>Policy Brief</w:t>
      </w:r>
      <w:r>
        <w:rPr>
          <w:rFonts w:ascii="Arial" w:hAnsi="Arial" w:cs="Arial"/>
          <w:lang w:val="en-US"/>
        </w:rPr>
        <w:t>. 14-6.</w:t>
      </w:r>
      <w:r w:rsidR="00E150DC" w:rsidRPr="00575D0C">
        <w:rPr>
          <w:rFonts w:ascii="Arial" w:hAnsi="Arial" w:cs="Arial"/>
          <w:lang w:val="en-US"/>
        </w:rPr>
        <w:t xml:space="preserve"> Peterson Institute for International Economics</w:t>
      </w:r>
      <w:r>
        <w:rPr>
          <w:rFonts w:ascii="Arial" w:hAnsi="Arial" w:cs="Arial"/>
          <w:lang w:val="en-US"/>
        </w:rPr>
        <w:t xml:space="preserve">. Washington, </w:t>
      </w:r>
      <w:r w:rsidR="00E150DC" w:rsidRPr="00575D0C">
        <w:rPr>
          <w:rFonts w:ascii="Arial" w:hAnsi="Arial" w:cs="Arial"/>
          <w:lang w:val="en-US"/>
        </w:rPr>
        <w:t>pp. 1/2.</w:t>
      </w:r>
    </w:p>
    <w:p w14:paraId="018CB30D" w14:textId="77777777" w:rsidR="00C2095D" w:rsidRDefault="00E150DC" w:rsidP="00575D0C">
      <w:pPr>
        <w:spacing w:line="240" w:lineRule="auto"/>
        <w:jc w:val="both"/>
        <w:rPr>
          <w:rFonts w:ascii="Arial" w:hAnsi="Arial" w:cs="Arial"/>
          <w:lang w:val="en-US"/>
        </w:rPr>
      </w:pPr>
      <w:proofErr w:type="spellStart"/>
      <w:r w:rsidRPr="00575D0C">
        <w:rPr>
          <w:rFonts w:ascii="Arial" w:hAnsi="Arial" w:cs="Arial"/>
          <w:lang w:val="en-US"/>
        </w:rPr>
        <w:t>H</w:t>
      </w:r>
      <w:r w:rsidR="00C2095D">
        <w:rPr>
          <w:rFonts w:ascii="Arial" w:hAnsi="Arial" w:cs="Arial"/>
          <w:lang w:val="en-US"/>
        </w:rPr>
        <w:t>estermeyer</w:t>
      </w:r>
      <w:proofErr w:type="spellEnd"/>
      <w:r w:rsidRPr="00575D0C">
        <w:rPr>
          <w:rFonts w:ascii="Arial" w:hAnsi="Arial" w:cs="Arial"/>
          <w:lang w:val="en-US"/>
        </w:rPr>
        <w:t>,</w:t>
      </w:r>
      <w:r w:rsidR="00C2095D">
        <w:rPr>
          <w:rFonts w:ascii="Arial" w:hAnsi="Arial" w:cs="Arial"/>
          <w:lang w:val="en-US"/>
        </w:rPr>
        <w:t xml:space="preserve"> H.</w:t>
      </w:r>
      <w:r w:rsidRPr="00575D0C">
        <w:rPr>
          <w:rFonts w:ascii="Arial" w:hAnsi="Arial" w:cs="Arial"/>
          <w:lang w:val="en-US"/>
        </w:rPr>
        <w:t xml:space="preserve"> P.</w:t>
      </w:r>
      <w:r w:rsidR="00C2095D">
        <w:rPr>
          <w:rFonts w:ascii="Arial" w:hAnsi="Arial" w:cs="Arial"/>
          <w:lang w:val="en-US"/>
        </w:rPr>
        <w:t>,</w:t>
      </w:r>
      <w:r w:rsidRPr="00575D0C">
        <w:rPr>
          <w:rFonts w:ascii="Arial" w:hAnsi="Arial" w:cs="Arial"/>
          <w:lang w:val="en-US"/>
        </w:rPr>
        <w:t xml:space="preserve"> N</w:t>
      </w:r>
      <w:r w:rsidR="00C2095D">
        <w:rPr>
          <w:rFonts w:ascii="Arial" w:hAnsi="Arial" w:cs="Arial"/>
          <w:lang w:val="en-US"/>
        </w:rPr>
        <w:t>ielsen</w:t>
      </w:r>
      <w:r w:rsidRPr="00575D0C">
        <w:rPr>
          <w:rFonts w:ascii="Arial" w:hAnsi="Arial" w:cs="Arial"/>
          <w:lang w:val="en-US"/>
        </w:rPr>
        <w:t>, L.</w:t>
      </w:r>
      <w:r w:rsidR="00C2095D">
        <w:rPr>
          <w:rFonts w:ascii="Arial" w:hAnsi="Arial" w:cs="Arial"/>
          <w:lang w:val="en-US"/>
        </w:rPr>
        <w:t xml:space="preserve"> (2014).</w:t>
      </w:r>
      <w:r w:rsidRPr="00575D0C">
        <w:rPr>
          <w:rFonts w:ascii="Arial" w:hAnsi="Arial" w:cs="Arial"/>
          <w:lang w:val="en-US"/>
        </w:rPr>
        <w:t xml:space="preserve"> The Legality of Local Content Measures under the WTO</w:t>
      </w:r>
      <w:r w:rsidR="00C2095D">
        <w:rPr>
          <w:rFonts w:ascii="Arial" w:hAnsi="Arial" w:cs="Arial"/>
          <w:lang w:val="en-US"/>
        </w:rPr>
        <w:t>.</w:t>
      </w:r>
      <w:r w:rsidRPr="00575D0C">
        <w:rPr>
          <w:rFonts w:ascii="Arial" w:hAnsi="Arial" w:cs="Arial"/>
          <w:lang w:val="en-US"/>
        </w:rPr>
        <w:t xml:space="preserve"> </w:t>
      </w:r>
      <w:r w:rsidRPr="00575D0C">
        <w:rPr>
          <w:rFonts w:ascii="Arial" w:hAnsi="Arial" w:cs="Arial"/>
          <w:i/>
          <w:lang w:val="en-US"/>
        </w:rPr>
        <w:t>Journal of World Trade</w:t>
      </w:r>
      <w:r w:rsidRPr="00575D0C">
        <w:rPr>
          <w:rFonts w:ascii="Arial" w:hAnsi="Arial" w:cs="Arial"/>
          <w:lang w:val="en-US"/>
        </w:rPr>
        <w:t xml:space="preserve"> 48</w:t>
      </w:r>
      <w:r w:rsidR="006146BD">
        <w:rPr>
          <w:rFonts w:ascii="Arial" w:hAnsi="Arial" w:cs="Arial"/>
          <w:lang w:val="en-US"/>
        </w:rPr>
        <w:t>/</w:t>
      </w:r>
      <w:r w:rsidRPr="00575D0C">
        <w:rPr>
          <w:rFonts w:ascii="Arial" w:hAnsi="Arial" w:cs="Arial"/>
          <w:lang w:val="en-US"/>
        </w:rPr>
        <w:t>3, pp. 567</w:t>
      </w:r>
      <w:r w:rsidR="006146BD">
        <w:rPr>
          <w:rFonts w:ascii="Arial" w:hAnsi="Arial" w:cs="Arial"/>
          <w:lang w:val="en-US"/>
        </w:rPr>
        <w:t>-</w:t>
      </w:r>
      <w:r w:rsidRPr="00575D0C">
        <w:rPr>
          <w:rFonts w:ascii="Arial" w:hAnsi="Arial" w:cs="Arial"/>
          <w:lang w:val="en-US"/>
        </w:rPr>
        <w:t>568</w:t>
      </w:r>
      <w:r w:rsidR="006146BD">
        <w:rPr>
          <w:rFonts w:ascii="Arial" w:hAnsi="Arial" w:cs="Arial"/>
          <w:lang w:val="en-US"/>
        </w:rPr>
        <w:t>.</w:t>
      </w:r>
    </w:p>
    <w:p w14:paraId="0DBDB046" w14:textId="77777777" w:rsidR="00E150DC" w:rsidRPr="00575D0C" w:rsidRDefault="00E150DC" w:rsidP="00575D0C">
      <w:pPr>
        <w:spacing w:line="240" w:lineRule="auto"/>
        <w:jc w:val="both"/>
        <w:rPr>
          <w:rFonts w:ascii="Arial" w:hAnsi="Arial" w:cs="Arial"/>
          <w:lang w:val="en-US"/>
        </w:rPr>
      </w:pPr>
      <w:proofErr w:type="spellStart"/>
      <w:r w:rsidRPr="009C3CFA">
        <w:rPr>
          <w:rFonts w:ascii="Arial" w:hAnsi="Arial" w:cs="Arial"/>
          <w:lang w:val="en-GB"/>
        </w:rPr>
        <w:t>H</w:t>
      </w:r>
      <w:r w:rsidR="006146BD" w:rsidRPr="009C3CFA">
        <w:rPr>
          <w:rFonts w:ascii="Arial" w:hAnsi="Arial" w:cs="Arial"/>
          <w:lang w:val="en-GB"/>
        </w:rPr>
        <w:t>ufbauer</w:t>
      </w:r>
      <w:proofErr w:type="spellEnd"/>
      <w:r w:rsidRPr="009C3CFA">
        <w:rPr>
          <w:rFonts w:ascii="Arial" w:hAnsi="Arial" w:cs="Arial"/>
          <w:lang w:val="en-GB"/>
        </w:rPr>
        <w:t>, G</w:t>
      </w:r>
      <w:r w:rsidR="006146BD" w:rsidRPr="009C3CFA">
        <w:rPr>
          <w:rFonts w:ascii="Arial" w:hAnsi="Arial" w:cs="Arial"/>
          <w:lang w:val="en-GB"/>
        </w:rPr>
        <w:t>.</w:t>
      </w:r>
      <w:r w:rsidRPr="009C3CFA">
        <w:rPr>
          <w:rFonts w:ascii="Arial" w:hAnsi="Arial" w:cs="Arial"/>
          <w:lang w:val="en-GB"/>
        </w:rPr>
        <w:t xml:space="preserve"> C</w:t>
      </w:r>
      <w:r w:rsidR="006146BD" w:rsidRPr="009C3CFA">
        <w:rPr>
          <w:rFonts w:ascii="Arial" w:hAnsi="Arial" w:cs="Arial"/>
          <w:lang w:val="en-GB"/>
        </w:rPr>
        <w:t>.</w:t>
      </w:r>
      <w:r w:rsidRPr="009C3CFA">
        <w:rPr>
          <w:rFonts w:ascii="Arial" w:hAnsi="Arial" w:cs="Arial"/>
          <w:lang w:val="en-GB"/>
        </w:rPr>
        <w:t xml:space="preserve">; </w:t>
      </w:r>
      <w:proofErr w:type="spellStart"/>
      <w:r w:rsidRPr="009C3CFA">
        <w:rPr>
          <w:rFonts w:ascii="Arial" w:hAnsi="Arial" w:cs="Arial"/>
          <w:lang w:val="en-GB"/>
        </w:rPr>
        <w:t>S</w:t>
      </w:r>
      <w:r w:rsidR="006146BD" w:rsidRPr="009C3CFA">
        <w:rPr>
          <w:rFonts w:ascii="Arial" w:hAnsi="Arial" w:cs="Arial"/>
          <w:lang w:val="en-GB"/>
        </w:rPr>
        <w:t>choot</w:t>
      </w:r>
      <w:proofErr w:type="spellEnd"/>
      <w:r w:rsidRPr="009C3CFA">
        <w:rPr>
          <w:rFonts w:ascii="Arial" w:hAnsi="Arial" w:cs="Arial"/>
          <w:lang w:val="en-GB"/>
        </w:rPr>
        <w:t>, J</w:t>
      </w:r>
      <w:r w:rsidR="006146BD" w:rsidRPr="009C3CFA">
        <w:rPr>
          <w:rFonts w:ascii="Arial" w:hAnsi="Arial" w:cs="Arial"/>
          <w:lang w:val="en-GB"/>
        </w:rPr>
        <w:t>,</w:t>
      </w:r>
      <w:r w:rsidRPr="009C3CFA">
        <w:rPr>
          <w:rFonts w:ascii="Arial" w:hAnsi="Arial" w:cs="Arial"/>
          <w:lang w:val="en-GB"/>
        </w:rPr>
        <w:t xml:space="preserve"> C</w:t>
      </w:r>
      <w:r w:rsidR="006146BD" w:rsidRPr="009C3CFA">
        <w:rPr>
          <w:rFonts w:ascii="Arial" w:hAnsi="Arial" w:cs="Arial"/>
          <w:lang w:val="en-GB"/>
        </w:rPr>
        <w:t>imino</w:t>
      </w:r>
      <w:r w:rsidRPr="009C3CFA">
        <w:rPr>
          <w:rFonts w:ascii="Arial" w:hAnsi="Arial" w:cs="Arial"/>
          <w:lang w:val="en-GB"/>
        </w:rPr>
        <w:t>, C</w:t>
      </w:r>
      <w:r w:rsidR="006146BD" w:rsidRPr="009C3CFA">
        <w:rPr>
          <w:rFonts w:ascii="Arial" w:hAnsi="Arial" w:cs="Arial"/>
          <w:lang w:val="en-GB"/>
        </w:rPr>
        <w:t>.,</w:t>
      </w:r>
      <w:r w:rsidRPr="009C3CFA">
        <w:rPr>
          <w:rFonts w:ascii="Arial" w:hAnsi="Arial" w:cs="Arial"/>
          <w:lang w:val="en-GB"/>
        </w:rPr>
        <w:t xml:space="preserve"> </w:t>
      </w:r>
      <w:proofErr w:type="spellStart"/>
      <w:r w:rsidRPr="009C3CFA">
        <w:rPr>
          <w:rFonts w:ascii="Arial" w:hAnsi="Arial" w:cs="Arial"/>
          <w:lang w:val="en-GB"/>
        </w:rPr>
        <w:t>V</w:t>
      </w:r>
      <w:r w:rsidR="006146BD" w:rsidRPr="009C3CFA">
        <w:rPr>
          <w:rFonts w:ascii="Arial" w:hAnsi="Arial" w:cs="Arial"/>
          <w:lang w:val="en-GB"/>
        </w:rPr>
        <w:t>ieiro</w:t>
      </w:r>
      <w:proofErr w:type="spellEnd"/>
      <w:r w:rsidRPr="009C3CFA">
        <w:rPr>
          <w:rFonts w:ascii="Arial" w:hAnsi="Arial" w:cs="Arial"/>
          <w:lang w:val="en-GB"/>
        </w:rPr>
        <w:t>, M</w:t>
      </w:r>
      <w:r w:rsidR="006146BD" w:rsidRPr="009C3CFA">
        <w:rPr>
          <w:rFonts w:ascii="Arial" w:hAnsi="Arial" w:cs="Arial"/>
          <w:lang w:val="en-GB"/>
        </w:rPr>
        <w:t>.,</w:t>
      </w:r>
      <w:r w:rsidRPr="009C3CFA">
        <w:rPr>
          <w:rFonts w:ascii="Arial" w:hAnsi="Arial" w:cs="Arial"/>
          <w:lang w:val="en-GB"/>
        </w:rPr>
        <w:t xml:space="preserve"> W</w:t>
      </w:r>
      <w:r w:rsidR="006146BD" w:rsidRPr="009C3CFA">
        <w:rPr>
          <w:rFonts w:ascii="Arial" w:hAnsi="Arial" w:cs="Arial"/>
          <w:lang w:val="en-GB"/>
        </w:rPr>
        <w:t>ada</w:t>
      </w:r>
      <w:r w:rsidRPr="009C3CFA">
        <w:rPr>
          <w:rFonts w:ascii="Arial" w:hAnsi="Arial" w:cs="Arial"/>
          <w:lang w:val="en-GB"/>
        </w:rPr>
        <w:t>,</w:t>
      </w:r>
      <w:r w:rsidR="006146BD" w:rsidRPr="009C3CFA">
        <w:rPr>
          <w:rFonts w:ascii="Arial" w:hAnsi="Arial" w:cs="Arial"/>
          <w:lang w:val="en-GB"/>
        </w:rPr>
        <w:t xml:space="preserve"> E</w:t>
      </w:r>
      <w:r w:rsidRPr="009C3CFA">
        <w:rPr>
          <w:rFonts w:ascii="Arial" w:hAnsi="Arial" w:cs="Arial"/>
          <w:lang w:val="en-GB"/>
        </w:rPr>
        <w:t>.</w:t>
      </w:r>
      <w:r w:rsidR="006146BD" w:rsidRPr="009C3CFA">
        <w:rPr>
          <w:rFonts w:ascii="Arial" w:hAnsi="Arial" w:cs="Arial"/>
          <w:lang w:val="en-GB"/>
        </w:rPr>
        <w:t xml:space="preserve"> (2013).</w:t>
      </w:r>
      <w:r w:rsidRPr="009C3CFA">
        <w:rPr>
          <w:rFonts w:ascii="Arial" w:hAnsi="Arial" w:cs="Arial"/>
          <w:lang w:val="en-GB"/>
        </w:rPr>
        <w:t xml:space="preserve"> </w:t>
      </w:r>
      <w:r w:rsidRPr="006146BD">
        <w:rPr>
          <w:rFonts w:ascii="Arial" w:hAnsi="Arial" w:cs="Arial"/>
          <w:lang w:val="en-US"/>
        </w:rPr>
        <w:t>Local Content Requirements: Report on a Global Problem.</w:t>
      </w:r>
      <w:r w:rsidRPr="00575D0C">
        <w:rPr>
          <w:rFonts w:ascii="Arial" w:hAnsi="Arial" w:cs="Arial"/>
          <w:lang w:val="en-US"/>
        </w:rPr>
        <w:t xml:space="preserve"> Peterson Institute for International Economics, Washington,</w:t>
      </w:r>
      <w:r w:rsidR="006146BD">
        <w:rPr>
          <w:rFonts w:ascii="Arial" w:hAnsi="Arial" w:cs="Arial"/>
          <w:lang w:val="en-US"/>
        </w:rPr>
        <w:t xml:space="preserve"> p.3.</w:t>
      </w:r>
    </w:p>
    <w:p w14:paraId="412029E6" w14:textId="77777777" w:rsidR="00E150DC" w:rsidRPr="00575D0C" w:rsidRDefault="00E150DC" w:rsidP="00575D0C">
      <w:pPr>
        <w:spacing w:line="240" w:lineRule="auto"/>
        <w:jc w:val="both"/>
        <w:rPr>
          <w:rFonts w:ascii="Arial" w:hAnsi="Arial" w:cs="Arial"/>
          <w:lang w:val="en-US"/>
        </w:rPr>
      </w:pPr>
      <w:r w:rsidRPr="00575D0C">
        <w:rPr>
          <w:rFonts w:ascii="Arial" w:hAnsi="Arial" w:cs="Arial"/>
          <w:lang w:val="en-US"/>
        </w:rPr>
        <w:t>J</w:t>
      </w:r>
      <w:r w:rsidR="006146BD">
        <w:rPr>
          <w:rFonts w:ascii="Arial" w:hAnsi="Arial" w:cs="Arial"/>
          <w:lang w:val="en-US"/>
        </w:rPr>
        <w:t>ackson</w:t>
      </w:r>
      <w:r w:rsidRPr="00575D0C">
        <w:rPr>
          <w:rFonts w:ascii="Arial" w:hAnsi="Arial" w:cs="Arial"/>
          <w:lang w:val="en-US"/>
        </w:rPr>
        <w:t>, J</w:t>
      </w:r>
      <w:r w:rsidR="006146BD">
        <w:rPr>
          <w:rFonts w:ascii="Arial" w:hAnsi="Arial" w:cs="Arial"/>
          <w:lang w:val="en-US"/>
        </w:rPr>
        <w:t>.</w:t>
      </w:r>
      <w:r w:rsidRPr="00575D0C">
        <w:rPr>
          <w:rFonts w:ascii="Arial" w:hAnsi="Arial" w:cs="Arial"/>
          <w:lang w:val="en-US"/>
        </w:rPr>
        <w:t xml:space="preserve"> H.</w:t>
      </w:r>
      <w:r w:rsidR="006146BD">
        <w:rPr>
          <w:rFonts w:ascii="Arial" w:hAnsi="Arial" w:cs="Arial"/>
          <w:lang w:val="en-US"/>
        </w:rPr>
        <w:t xml:space="preserve"> (2002).</w:t>
      </w:r>
      <w:r w:rsidRPr="00575D0C">
        <w:rPr>
          <w:rFonts w:ascii="Arial" w:hAnsi="Arial" w:cs="Arial"/>
          <w:lang w:val="en-US"/>
        </w:rPr>
        <w:t xml:space="preserve"> </w:t>
      </w:r>
      <w:r w:rsidRPr="00575D0C">
        <w:rPr>
          <w:rFonts w:ascii="Arial" w:hAnsi="Arial" w:cs="Arial"/>
          <w:i/>
          <w:lang w:val="en-US"/>
        </w:rPr>
        <w:t>The World Trading System</w:t>
      </w:r>
      <w:r w:rsidRPr="00575D0C">
        <w:rPr>
          <w:rFonts w:ascii="Arial" w:hAnsi="Arial" w:cs="Arial"/>
          <w:lang w:val="en-US"/>
        </w:rPr>
        <w:t>, 2</w:t>
      </w:r>
      <w:r w:rsidRPr="00575D0C">
        <w:rPr>
          <w:rFonts w:ascii="Arial" w:hAnsi="Arial" w:cs="Arial"/>
          <w:vertAlign w:val="superscript"/>
          <w:lang w:val="en-US"/>
        </w:rPr>
        <w:t>nd</w:t>
      </w:r>
      <w:r w:rsidRPr="00575D0C">
        <w:rPr>
          <w:rFonts w:ascii="Arial" w:hAnsi="Arial" w:cs="Arial"/>
          <w:lang w:val="en-US"/>
        </w:rPr>
        <w:t xml:space="preserve"> ed. Cambridge: Cambridge University Press,</w:t>
      </w:r>
      <w:r w:rsidR="006146BD">
        <w:rPr>
          <w:rFonts w:ascii="Arial" w:hAnsi="Arial" w:cs="Arial"/>
          <w:lang w:val="en-US"/>
        </w:rPr>
        <w:t xml:space="preserve"> p. 214.</w:t>
      </w:r>
    </w:p>
    <w:p w14:paraId="09F431F0" w14:textId="77777777" w:rsidR="00E150DC" w:rsidRPr="00575D0C" w:rsidRDefault="00E150DC" w:rsidP="00575D0C">
      <w:pPr>
        <w:spacing w:line="240" w:lineRule="auto"/>
        <w:jc w:val="both"/>
        <w:rPr>
          <w:rFonts w:ascii="Arial" w:hAnsi="Arial" w:cs="Arial"/>
          <w:lang w:val="en-US"/>
        </w:rPr>
      </w:pPr>
      <w:proofErr w:type="spellStart"/>
      <w:r w:rsidRPr="009C3CFA">
        <w:rPr>
          <w:rFonts w:ascii="Arial" w:hAnsi="Arial" w:cs="Arial"/>
          <w:lang w:val="en-GB"/>
        </w:rPr>
        <w:t>M</w:t>
      </w:r>
      <w:r w:rsidR="004558FE" w:rsidRPr="009C3CFA">
        <w:rPr>
          <w:rFonts w:ascii="Arial" w:hAnsi="Arial" w:cs="Arial"/>
          <w:lang w:val="en-GB"/>
        </w:rPr>
        <w:t>avroidis</w:t>
      </w:r>
      <w:proofErr w:type="spellEnd"/>
      <w:r w:rsidR="004558FE" w:rsidRPr="009C3CFA">
        <w:rPr>
          <w:rFonts w:ascii="Arial" w:hAnsi="Arial" w:cs="Arial"/>
          <w:lang w:val="en-GB"/>
        </w:rPr>
        <w:t>, P. C. (2013).</w:t>
      </w:r>
      <w:r w:rsidRPr="009C3CFA">
        <w:rPr>
          <w:rFonts w:ascii="Arial" w:hAnsi="Arial" w:cs="Arial"/>
          <w:lang w:val="en-GB"/>
        </w:rPr>
        <w:t xml:space="preserve"> </w:t>
      </w:r>
      <w:r w:rsidRPr="00575D0C">
        <w:rPr>
          <w:rFonts w:ascii="Arial" w:hAnsi="Arial" w:cs="Arial"/>
          <w:i/>
          <w:lang w:val="en-US"/>
        </w:rPr>
        <w:t>Trade in Goods.</w:t>
      </w:r>
      <w:r w:rsidRPr="00575D0C">
        <w:rPr>
          <w:rFonts w:ascii="Arial" w:hAnsi="Arial" w:cs="Arial"/>
          <w:lang w:val="en-US"/>
        </w:rPr>
        <w:t xml:space="preserve"> Oxford: Oxford University Press, p. 308.</w:t>
      </w:r>
    </w:p>
    <w:p w14:paraId="782C8A04" w14:textId="77777777" w:rsidR="00BA5744" w:rsidRPr="00575D0C" w:rsidRDefault="00BA5744" w:rsidP="00575D0C">
      <w:pPr>
        <w:spacing w:line="240" w:lineRule="auto"/>
        <w:jc w:val="both"/>
        <w:rPr>
          <w:rFonts w:ascii="Arial" w:hAnsi="Arial" w:cs="Arial"/>
          <w:lang w:val="en-US"/>
        </w:rPr>
      </w:pPr>
      <w:bookmarkStart w:id="6" w:name="_Hlk506290913"/>
      <w:proofErr w:type="spellStart"/>
      <w:r w:rsidRPr="00575D0C">
        <w:rPr>
          <w:rFonts w:ascii="Arial" w:hAnsi="Arial" w:cs="Arial"/>
          <w:lang w:val="en-US"/>
        </w:rPr>
        <w:t>M</w:t>
      </w:r>
      <w:r w:rsidR="004558FE">
        <w:rPr>
          <w:rFonts w:ascii="Arial" w:hAnsi="Arial" w:cs="Arial"/>
          <w:lang w:val="en-US"/>
        </w:rPr>
        <w:t>uchlinsky</w:t>
      </w:r>
      <w:proofErr w:type="spellEnd"/>
      <w:r w:rsidR="004558FE">
        <w:rPr>
          <w:rFonts w:ascii="Arial" w:hAnsi="Arial" w:cs="Arial"/>
          <w:lang w:val="en-US"/>
        </w:rPr>
        <w:t>,</w:t>
      </w:r>
      <w:bookmarkEnd w:id="6"/>
      <w:r w:rsidR="004558FE">
        <w:rPr>
          <w:rFonts w:ascii="Arial" w:hAnsi="Arial" w:cs="Arial"/>
          <w:lang w:val="en-US"/>
        </w:rPr>
        <w:t xml:space="preserve"> P</w:t>
      </w:r>
      <w:r w:rsidRPr="00575D0C">
        <w:rPr>
          <w:rFonts w:ascii="Arial" w:hAnsi="Arial" w:cs="Arial"/>
          <w:lang w:val="en-US"/>
        </w:rPr>
        <w:t>. Policy Issues. In:</w:t>
      </w:r>
      <w:r w:rsidR="004558FE" w:rsidRPr="004558FE">
        <w:rPr>
          <w:rFonts w:ascii="Arial" w:hAnsi="Arial" w:cs="Arial"/>
          <w:lang w:val="en-US"/>
        </w:rPr>
        <w:t xml:space="preserve"> </w:t>
      </w:r>
      <w:proofErr w:type="spellStart"/>
      <w:r w:rsidR="004558FE" w:rsidRPr="00575D0C">
        <w:rPr>
          <w:rFonts w:ascii="Arial" w:hAnsi="Arial" w:cs="Arial"/>
          <w:lang w:val="en-US"/>
        </w:rPr>
        <w:t>M</w:t>
      </w:r>
      <w:r w:rsidR="004558FE">
        <w:rPr>
          <w:rFonts w:ascii="Arial" w:hAnsi="Arial" w:cs="Arial"/>
          <w:lang w:val="en-US"/>
        </w:rPr>
        <w:t>uchlinsky</w:t>
      </w:r>
      <w:proofErr w:type="spellEnd"/>
      <w:r w:rsidR="004558FE">
        <w:rPr>
          <w:rFonts w:ascii="Arial" w:hAnsi="Arial" w:cs="Arial"/>
          <w:lang w:val="en-US"/>
        </w:rPr>
        <w:t>, P,</w:t>
      </w:r>
      <w:r w:rsidRPr="00575D0C">
        <w:rPr>
          <w:rFonts w:ascii="Arial" w:hAnsi="Arial" w:cs="Arial"/>
          <w:lang w:val="en-US"/>
        </w:rPr>
        <w:t xml:space="preserve"> </w:t>
      </w:r>
      <w:proofErr w:type="spellStart"/>
      <w:r w:rsidRPr="00575D0C">
        <w:rPr>
          <w:rFonts w:ascii="Arial" w:hAnsi="Arial" w:cs="Arial"/>
          <w:lang w:val="en-US"/>
        </w:rPr>
        <w:t>Ortino</w:t>
      </w:r>
      <w:proofErr w:type="spellEnd"/>
      <w:r w:rsidRPr="00575D0C">
        <w:rPr>
          <w:rFonts w:ascii="Arial" w:hAnsi="Arial" w:cs="Arial"/>
          <w:lang w:val="en-US"/>
        </w:rPr>
        <w:t>, F</w:t>
      </w:r>
      <w:r w:rsidR="004558FE">
        <w:rPr>
          <w:rFonts w:ascii="Arial" w:hAnsi="Arial" w:cs="Arial"/>
          <w:lang w:val="en-US"/>
        </w:rPr>
        <w:t>.,</w:t>
      </w:r>
      <w:r w:rsidRPr="00575D0C">
        <w:rPr>
          <w:rFonts w:ascii="Arial" w:hAnsi="Arial" w:cs="Arial"/>
          <w:lang w:val="en-US"/>
        </w:rPr>
        <w:t xml:space="preserve"> </w:t>
      </w:r>
      <w:proofErr w:type="spellStart"/>
      <w:r w:rsidRPr="00575D0C">
        <w:rPr>
          <w:rFonts w:ascii="Arial" w:hAnsi="Arial" w:cs="Arial"/>
          <w:lang w:val="en-US"/>
        </w:rPr>
        <w:t>Schreuer</w:t>
      </w:r>
      <w:proofErr w:type="spellEnd"/>
      <w:r w:rsidRPr="00575D0C">
        <w:rPr>
          <w:rFonts w:ascii="Arial" w:hAnsi="Arial" w:cs="Arial"/>
          <w:lang w:val="en-US"/>
        </w:rPr>
        <w:t>, C</w:t>
      </w:r>
      <w:r w:rsidR="004558FE">
        <w:rPr>
          <w:rFonts w:ascii="Arial" w:hAnsi="Arial" w:cs="Arial"/>
          <w:lang w:val="en-US"/>
        </w:rPr>
        <w:t>.</w:t>
      </w:r>
      <w:r w:rsidR="00620A1D">
        <w:rPr>
          <w:rFonts w:ascii="Arial" w:hAnsi="Arial" w:cs="Arial"/>
          <w:lang w:val="en-US"/>
        </w:rPr>
        <w:t xml:space="preserve"> (2008)</w:t>
      </w:r>
      <w:r w:rsidR="004558FE">
        <w:rPr>
          <w:rFonts w:ascii="Arial" w:hAnsi="Arial" w:cs="Arial"/>
          <w:lang w:val="en-US"/>
        </w:rPr>
        <w:t xml:space="preserve"> (</w:t>
      </w:r>
      <w:proofErr w:type="spellStart"/>
      <w:r w:rsidR="004558FE">
        <w:rPr>
          <w:rFonts w:ascii="Arial" w:hAnsi="Arial" w:cs="Arial"/>
          <w:lang w:val="en-US"/>
        </w:rPr>
        <w:t>eds</w:t>
      </w:r>
      <w:proofErr w:type="spellEnd"/>
      <w:r w:rsidR="004558FE">
        <w:rPr>
          <w:rFonts w:ascii="Arial" w:hAnsi="Arial" w:cs="Arial"/>
          <w:lang w:val="en-US"/>
        </w:rPr>
        <w:t>)</w:t>
      </w:r>
      <w:r w:rsidRPr="00575D0C">
        <w:rPr>
          <w:rFonts w:ascii="Arial" w:hAnsi="Arial" w:cs="Arial"/>
          <w:i/>
          <w:lang w:val="en-US"/>
        </w:rPr>
        <w:t xml:space="preserve"> </w:t>
      </w:r>
      <w:r w:rsidRPr="004558FE">
        <w:rPr>
          <w:rFonts w:ascii="Arial" w:hAnsi="Arial" w:cs="Arial"/>
          <w:lang w:val="en-US"/>
        </w:rPr>
        <w:t>The Oxford Handbook of International Investment Law</w:t>
      </w:r>
      <w:r w:rsidR="004558FE">
        <w:rPr>
          <w:rFonts w:ascii="Arial" w:hAnsi="Arial" w:cs="Arial"/>
          <w:lang w:val="en-US"/>
        </w:rPr>
        <w:t>.</w:t>
      </w:r>
      <w:r w:rsidRPr="00575D0C">
        <w:rPr>
          <w:rFonts w:ascii="Arial" w:hAnsi="Arial" w:cs="Arial"/>
          <w:lang w:val="en-US"/>
        </w:rPr>
        <w:t xml:space="preserve"> </w:t>
      </w:r>
      <w:bookmarkStart w:id="7" w:name="_Hlk506566248"/>
      <w:r w:rsidRPr="00575D0C">
        <w:rPr>
          <w:rFonts w:ascii="Arial" w:hAnsi="Arial" w:cs="Arial"/>
          <w:lang w:val="en-US"/>
        </w:rPr>
        <w:t>Oxford: Oxford University Press</w:t>
      </w:r>
      <w:bookmarkEnd w:id="7"/>
      <w:r w:rsidRPr="00575D0C">
        <w:rPr>
          <w:rFonts w:ascii="Arial" w:hAnsi="Arial" w:cs="Arial"/>
          <w:lang w:val="en-US"/>
        </w:rPr>
        <w:t xml:space="preserve">, </w:t>
      </w:r>
      <w:r w:rsidR="00620A1D">
        <w:rPr>
          <w:rFonts w:ascii="Arial" w:hAnsi="Arial" w:cs="Arial"/>
          <w:lang w:val="en-US"/>
        </w:rPr>
        <w:t>pp. 31-32.</w:t>
      </w:r>
    </w:p>
    <w:p w14:paraId="5FB7C6BE" w14:textId="77777777" w:rsidR="00C2095D" w:rsidRPr="00575D0C" w:rsidRDefault="00C2095D" w:rsidP="00C2095D">
      <w:pPr>
        <w:spacing w:line="240" w:lineRule="auto"/>
        <w:jc w:val="both"/>
        <w:rPr>
          <w:rFonts w:ascii="Arial" w:hAnsi="Arial" w:cs="Arial"/>
          <w:lang w:val="en-US"/>
        </w:rPr>
      </w:pPr>
      <w:proofErr w:type="spellStart"/>
      <w:r w:rsidRPr="00575D0C">
        <w:rPr>
          <w:rFonts w:ascii="Arial" w:hAnsi="Arial" w:cs="Arial"/>
          <w:lang w:val="en-US"/>
        </w:rPr>
        <w:t>P</w:t>
      </w:r>
      <w:r w:rsidR="00620A1D">
        <w:rPr>
          <w:rFonts w:ascii="Arial" w:hAnsi="Arial" w:cs="Arial"/>
          <w:lang w:val="en-US"/>
        </w:rPr>
        <w:t>auwelyn</w:t>
      </w:r>
      <w:proofErr w:type="spellEnd"/>
      <w:r w:rsidRPr="00575D0C">
        <w:rPr>
          <w:rFonts w:ascii="Arial" w:hAnsi="Arial" w:cs="Arial"/>
          <w:lang w:val="en-US"/>
        </w:rPr>
        <w:t>, J</w:t>
      </w:r>
      <w:r w:rsidR="00620A1D">
        <w:rPr>
          <w:rFonts w:ascii="Arial" w:hAnsi="Arial" w:cs="Arial"/>
          <w:lang w:val="en-US"/>
        </w:rPr>
        <w:t>.</w:t>
      </w:r>
      <w:r w:rsidRPr="00575D0C">
        <w:rPr>
          <w:rFonts w:ascii="Arial" w:hAnsi="Arial" w:cs="Arial"/>
          <w:lang w:val="en-US"/>
        </w:rPr>
        <w:t xml:space="preserve"> Rational Design or Accidental Evolution? The Emergence of International Investment Law</w:t>
      </w:r>
      <w:r w:rsidR="00620A1D">
        <w:rPr>
          <w:rFonts w:ascii="Arial" w:hAnsi="Arial" w:cs="Arial"/>
          <w:lang w:val="en-US"/>
        </w:rPr>
        <w:t xml:space="preserve"> (2014)</w:t>
      </w:r>
      <w:r w:rsidRPr="00575D0C">
        <w:rPr>
          <w:rFonts w:ascii="Arial" w:hAnsi="Arial" w:cs="Arial"/>
          <w:lang w:val="en-US"/>
        </w:rPr>
        <w:t>. In: D</w:t>
      </w:r>
      <w:r w:rsidR="00620A1D">
        <w:rPr>
          <w:rFonts w:ascii="Arial" w:hAnsi="Arial" w:cs="Arial"/>
          <w:lang w:val="en-US"/>
        </w:rPr>
        <w:t>ouglas, Z.,</w:t>
      </w:r>
      <w:r w:rsidRPr="00575D0C">
        <w:rPr>
          <w:rFonts w:ascii="Arial" w:hAnsi="Arial" w:cs="Arial"/>
          <w:lang w:val="en-US"/>
        </w:rPr>
        <w:t xml:space="preserve"> </w:t>
      </w:r>
      <w:proofErr w:type="spellStart"/>
      <w:r w:rsidRPr="00575D0C">
        <w:rPr>
          <w:rFonts w:ascii="Arial" w:hAnsi="Arial" w:cs="Arial"/>
          <w:lang w:val="en-US"/>
        </w:rPr>
        <w:t>P</w:t>
      </w:r>
      <w:r w:rsidR="00620A1D">
        <w:rPr>
          <w:rFonts w:ascii="Arial" w:hAnsi="Arial" w:cs="Arial"/>
          <w:lang w:val="en-US"/>
        </w:rPr>
        <w:t>auwelyn</w:t>
      </w:r>
      <w:proofErr w:type="spellEnd"/>
      <w:r w:rsidR="00620A1D">
        <w:rPr>
          <w:rFonts w:ascii="Arial" w:hAnsi="Arial" w:cs="Arial"/>
          <w:lang w:val="en-US"/>
        </w:rPr>
        <w:t>, J.,</w:t>
      </w:r>
      <w:r w:rsidRPr="00575D0C">
        <w:rPr>
          <w:rFonts w:ascii="Arial" w:hAnsi="Arial" w:cs="Arial"/>
          <w:lang w:val="en-US"/>
        </w:rPr>
        <w:t xml:space="preserve"> V</w:t>
      </w:r>
      <w:r w:rsidR="00620A1D">
        <w:rPr>
          <w:rFonts w:ascii="Arial" w:hAnsi="Arial" w:cs="Arial"/>
          <w:lang w:val="en-US"/>
        </w:rPr>
        <w:t xml:space="preserve">iñuales, </w:t>
      </w:r>
      <w:r w:rsidRPr="00575D0C">
        <w:rPr>
          <w:rFonts w:ascii="Arial" w:hAnsi="Arial" w:cs="Arial"/>
          <w:lang w:val="en-US"/>
        </w:rPr>
        <w:t>J</w:t>
      </w:r>
      <w:r w:rsidR="00620A1D">
        <w:rPr>
          <w:rFonts w:ascii="Arial" w:hAnsi="Arial" w:cs="Arial"/>
          <w:lang w:val="en-US"/>
        </w:rPr>
        <w:t>.</w:t>
      </w:r>
      <w:r w:rsidRPr="00575D0C">
        <w:rPr>
          <w:rFonts w:ascii="Arial" w:hAnsi="Arial" w:cs="Arial"/>
          <w:lang w:val="en-US"/>
        </w:rPr>
        <w:t xml:space="preserve"> E. </w:t>
      </w:r>
      <w:r w:rsidR="00620A1D">
        <w:rPr>
          <w:rFonts w:ascii="Arial" w:hAnsi="Arial" w:cs="Arial"/>
          <w:lang w:val="en-US"/>
        </w:rPr>
        <w:t>(</w:t>
      </w:r>
      <w:proofErr w:type="spellStart"/>
      <w:r w:rsidRPr="00575D0C">
        <w:rPr>
          <w:rFonts w:ascii="Arial" w:hAnsi="Arial" w:cs="Arial"/>
          <w:lang w:val="en-US"/>
        </w:rPr>
        <w:t>ed</w:t>
      </w:r>
      <w:r w:rsidR="00620A1D">
        <w:rPr>
          <w:rFonts w:ascii="Arial" w:hAnsi="Arial" w:cs="Arial"/>
          <w:lang w:val="en-US"/>
        </w:rPr>
        <w:t>s</w:t>
      </w:r>
      <w:proofErr w:type="spellEnd"/>
      <w:r w:rsidR="00620A1D">
        <w:rPr>
          <w:rFonts w:ascii="Arial" w:hAnsi="Arial" w:cs="Arial"/>
          <w:lang w:val="en-US"/>
        </w:rPr>
        <w:t>)</w:t>
      </w:r>
      <w:r w:rsidRPr="00575D0C">
        <w:rPr>
          <w:rFonts w:ascii="Arial" w:hAnsi="Arial" w:cs="Arial"/>
          <w:lang w:val="en-US"/>
        </w:rPr>
        <w:t xml:space="preserve"> </w:t>
      </w:r>
      <w:r w:rsidRPr="00620A1D">
        <w:rPr>
          <w:rFonts w:ascii="Arial" w:hAnsi="Arial" w:cs="Arial"/>
          <w:lang w:val="en-US"/>
        </w:rPr>
        <w:t>The Foundations of International Investment Law –bringing theory into practice.</w:t>
      </w:r>
      <w:r w:rsidRPr="00575D0C">
        <w:rPr>
          <w:rFonts w:ascii="Arial" w:hAnsi="Arial" w:cs="Arial"/>
          <w:lang w:val="en-US"/>
        </w:rPr>
        <w:t xml:space="preserve"> Oxford: Oxford University Press,</w:t>
      </w:r>
      <w:r w:rsidR="00620A1D">
        <w:rPr>
          <w:rFonts w:ascii="Arial" w:hAnsi="Arial" w:cs="Arial"/>
          <w:lang w:val="en-US"/>
        </w:rPr>
        <w:t xml:space="preserve"> </w:t>
      </w:r>
      <w:r w:rsidRPr="00575D0C">
        <w:rPr>
          <w:rFonts w:ascii="Arial" w:hAnsi="Arial" w:cs="Arial"/>
          <w:lang w:val="en-US"/>
        </w:rPr>
        <w:t>p.12.</w:t>
      </w:r>
    </w:p>
    <w:p w14:paraId="28505AA4" w14:textId="77777777" w:rsidR="00F00B44" w:rsidRPr="00575D0C" w:rsidRDefault="00F00B44" w:rsidP="00F00B44">
      <w:pPr>
        <w:spacing w:line="240" w:lineRule="auto"/>
        <w:jc w:val="both"/>
        <w:rPr>
          <w:rFonts w:ascii="Arial" w:hAnsi="Arial" w:cs="Arial"/>
          <w:lang w:val="en-US"/>
        </w:rPr>
      </w:pPr>
      <w:r w:rsidRPr="00575D0C">
        <w:rPr>
          <w:rFonts w:ascii="Arial" w:hAnsi="Arial" w:cs="Arial"/>
          <w:lang w:val="en-US"/>
        </w:rPr>
        <w:t xml:space="preserve"> </w:t>
      </w:r>
      <w:proofErr w:type="spellStart"/>
      <w:r w:rsidRPr="00575D0C">
        <w:rPr>
          <w:rFonts w:ascii="Arial" w:hAnsi="Arial" w:cs="Arial"/>
          <w:lang w:val="en-US"/>
        </w:rPr>
        <w:t>R</w:t>
      </w:r>
      <w:r w:rsidR="00B45158">
        <w:rPr>
          <w:rFonts w:ascii="Arial" w:hAnsi="Arial" w:cs="Arial"/>
          <w:lang w:val="en-US"/>
        </w:rPr>
        <w:t>andoo</w:t>
      </w:r>
      <w:proofErr w:type="spellEnd"/>
      <w:r w:rsidR="00B45158">
        <w:rPr>
          <w:rFonts w:ascii="Arial" w:hAnsi="Arial" w:cs="Arial"/>
          <w:lang w:val="en-US"/>
        </w:rPr>
        <w:t>,</w:t>
      </w:r>
      <w:r w:rsidRPr="00575D0C">
        <w:rPr>
          <w:rFonts w:ascii="Arial" w:hAnsi="Arial" w:cs="Arial"/>
          <w:lang w:val="en-US"/>
        </w:rPr>
        <w:t xml:space="preserve"> I</w:t>
      </w:r>
      <w:r w:rsidR="00B45158">
        <w:rPr>
          <w:rFonts w:ascii="Arial" w:hAnsi="Arial" w:cs="Arial"/>
          <w:lang w:val="en-US"/>
        </w:rPr>
        <w:t>. (2015)</w:t>
      </w:r>
      <w:r w:rsidRPr="00575D0C">
        <w:rPr>
          <w:rFonts w:ascii="Arial" w:hAnsi="Arial" w:cs="Arial"/>
          <w:lang w:val="en-US"/>
        </w:rPr>
        <w:t xml:space="preserve">. </w:t>
      </w:r>
      <w:r w:rsidRPr="00B45158">
        <w:rPr>
          <w:rFonts w:ascii="Arial" w:hAnsi="Arial" w:cs="Arial"/>
          <w:lang w:val="en-US"/>
        </w:rPr>
        <w:t>Industrial Policies in a Changing World: What Prospects for Low-Income Countries</w:t>
      </w:r>
      <w:r w:rsidR="00B45158">
        <w:rPr>
          <w:rFonts w:ascii="Arial" w:hAnsi="Arial" w:cs="Arial"/>
          <w:lang w:val="en-US"/>
        </w:rPr>
        <w:t>.</w:t>
      </w:r>
      <w:r w:rsidRPr="00575D0C">
        <w:rPr>
          <w:rFonts w:ascii="Arial" w:hAnsi="Arial" w:cs="Arial"/>
          <w:i/>
          <w:lang w:val="en-US"/>
        </w:rPr>
        <w:t xml:space="preserve"> </w:t>
      </w:r>
      <w:r w:rsidRPr="00575D0C">
        <w:rPr>
          <w:rFonts w:ascii="Arial" w:hAnsi="Arial" w:cs="Arial"/>
          <w:lang w:val="en-US"/>
        </w:rPr>
        <w:t>E15 Initiativ</w:t>
      </w:r>
      <w:r w:rsidR="00B45158">
        <w:rPr>
          <w:rFonts w:ascii="Arial" w:hAnsi="Arial" w:cs="Arial"/>
          <w:lang w:val="en-US"/>
        </w:rPr>
        <w:t>e –</w:t>
      </w:r>
      <w:r w:rsidRPr="00575D0C">
        <w:rPr>
          <w:rFonts w:ascii="Arial" w:hAnsi="Arial" w:cs="Arial"/>
          <w:lang w:val="en-US"/>
        </w:rPr>
        <w:t xml:space="preserve"> International Centre for Trade and Development (ICTSD) and World Economic Forum</w:t>
      </w:r>
      <w:r w:rsidR="00B45158">
        <w:rPr>
          <w:rFonts w:ascii="Arial" w:hAnsi="Arial" w:cs="Arial"/>
          <w:lang w:val="en-US"/>
        </w:rPr>
        <w:t>.</w:t>
      </w:r>
      <w:r w:rsidRPr="00575D0C">
        <w:rPr>
          <w:rFonts w:ascii="Arial" w:hAnsi="Arial" w:cs="Arial"/>
          <w:lang w:val="en-US"/>
        </w:rPr>
        <w:t xml:space="preserve"> Geneva, p. 6</w:t>
      </w:r>
      <w:r w:rsidR="00B45158">
        <w:rPr>
          <w:rFonts w:ascii="Arial" w:hAnsi="Arial" w:cs="Arial"/>
          <w:lang w:val="en-US"/>
        </w:rPr>
        <w:t>.</w:t>
      </w:r>
    </w:p>
    <w:p w14:paraId="2DB20378" w14:textId="77777777" w:rsidR="00BA5744" w:rsidRPr="00B45158" w:rsidRDefault="00BA5744" w:rsidP="00575D0C">
      <w:pPr>
        <w:spacing w:line="240" w:lineRule="auto"/>
        <w:jc w:val="both"/>
        <w:rPr>
          <w:rFonts w:ascii="Arial" w:hAnsi="Arial" w:cs="Arial"/>
          <w:lang w:val="en-GB"/>
        </w:rPr>
      </w:pPr>
      <w:r w:rsidRPr="00575D0C">
        <w:rPr>
          <w:rFonts w:ascii="Arial" w:hAnsi="Arial" w:cs="Arial"/>
          <w:lang w:val="en-US"/>
        </w:rPr>
        <w:t>S</w:t>
      </w:r>
      <w:r w:rsidR="00B45158">
        <w:rPr>
          <w:rFonts w:ascii="Arial" w:hAnsi="Arial" w:cs="Arial"/>
          <w:lang w:val="en-US"/>
        </w:rPr>
        <w:t>tephenson,</w:t>
      </w:r>
      <w:r w:rsidRPr="00575D0C">
        <w:rPr>
          <w:rFonts w:ascii="Arial" w:hAnsi="Arial" w:cs="Arial"/>
          <w:lang w:val="en-US"/>
        </w:rPr>
        <w:t xml:space="preserve"> S. </w:t>
      </w:r>
      <w:r w:rsidR="00B45158">
        <w:rPr>
          <w:rFonts w:ascii="Arial" w:hAnsi="Arial" w:cs="Arial"/>
          <w:lang w:val="en-US"/>
        </w:rPr>
        <w:t xml:space="preserve">(2013). </w:t>
      </w:r>
      <w:r w:rsidRPr="00B45158">
        <w:rPr>
          <w:rFonts w:ascii="Arial" w:hAnsi="Arial" w:cs="Arial"/>
          <w:lang w:val="en-US"/>
        </w:rPr>
        <w:t>Addressing local content requirements in a sustainable energy trade agreement</w:t>
      </w:r>
      <w:r w:rsidRPr="00575D0C">
        <w:rPr>
          <w:rFonts w:ascii="Arial" w:hAnsi="Arial" w:cs="Arial"/>
          <w:lang w:val="en-US"/>
        </w:rPr>
        <w:t>.</w:t>
      </w:r>
      <w:r w:rsidR="00B45158">
        <w:rPr>
          <w:rFonts w:ascii="Arial" w:hAnsi="Arial" w:cs="Arial"/>
          <w:lang w:val="en-US"/>
        </w:rPr>
        <w:t xml:space="preserve"> </w:t>
      </w:r>
      <w:r w:rsidRPr="00575D0C">
        <w:rPr>
          <w:rFonts w:ascii="Arial" w:hAnsi="Arial" w:cs="Arial"/>
          <w:lang w:val="en-US"/>
        </w:rPr>
        <w:t>International Centre for Trade and Sustainable Development (ICTSD)</w:t>
      </w:r>
      <w:r w:rsidR="00B45158">
        <w:rPr>
          <w:rFonts w:ascii="Arial" w:hAnsi="Arial" w:cs="Arial"/>
          <w:lang w:val="en-US"/>
        </w:rPr>
        <w:t>.Geneva,</w:t>
      </w:r>
      <w:r w:rsidRPr="00575D0C">
        <w:rPr>
          <w:rFonts w:ascii="Arial" w:hAnsi="Arial" w:cs="Arial"/>
          <w:lang w:val="en-US"/>
        </w:rPr>
        <w:t xml:space="preserve"> p. 14</w:t>
      </w:r>
      <w:r w:rsidR="00B45158">
        <w:rPr>
          <w:rFonts w:ascii="Arial" w:hAnsi="Arial" w:cs="Arial"/>
          <w:lang w:val="en-US"/>
        </w:rPr>
        <w:t xml:space="preserve">. </w:t>
      </w:r>
      <w:hyperlink r:id="rId9" w:history="1">
        <w:r w:rsidR="00B45158" w:rsidRPr="008677AA">
          <w:rPr>
            <w:rStyle w:val="Hyperlink"/>
            <w:rFonts w:ascii="Arial" w:hAnsi="Arial" w:cs="Arial"/>
          </w:rPr>
          <w:t>https://www.ictsd.org/downloads/2013/06/addressing-local-content-requirements_opt.pdf</w:t>
        </w:r>
      </w:hyperlink>
      <w:r w:rsidRPr="00B45158">
        <w:rPr>
          <w:rFonts w:ascii="Arial" w:hAnsi="Arial" w:cs="Arial"/>
        </w:rPr>
        <w:t>.</w:t>
      </w:r>
      <w:r w:rsidR="00B45158">
        <w:rPr>
          <w:rFonts w:ascii="Arial" w:hAnsi="Arial" w:cs="Arial"/>
        </w:rPr>
        <w:t xml:space="preserve"> </w:t>
      </w:r>
      <w:r w:rsidR="00187C67" w:rsidRPr="00B45158">
        <w:rPr>
          <w:rFonts w:ascii="Arial" w:hAnsi="Arial" w:cs="Arial"/>
          <w:lang w:val="en-GB"/>
        </w:rPr>
        <w:t xml:space="preserve">Accessed </w:t>
      </w:r>
      <w:r w:rsidR="00187C67">
        <w:rPr>
          <w:rFonts w:ascii="Arial" w:hAnsi="Arial" w:cs="Arial"/>
          <w:lang w:val="en-GB"/>
        </w:rPr>
        <w:t xml:space="preserve">on </w:t>
      </w:r>
      <w:r w:rsidR="00B45158" w:rsidRPr="00B45158">
        <w:rPr>
          <w:rFonts w:ascii="Arial" w:hAnsi="Arial" w:cs="Arial"/>
          <w:lang w:val="en-GB"/>
        </w:rPr>
        <w:t>January</w:t>
      </w:r>
      <w:r w:rsidR="00187C67">
        <w:rPr>
          <w:rFonts w:ascii="Arial" w:hAnsi="Arial" w:cs="Arial"/>
          <w:lang w:val="en-GB"/>
        </w:rPr>
        <w:t xml:space="preserve"> 2, </w:t>
      </w:r>
      <w:r w:rsidR="00B45158" w:rsidRPr="00B45158">
        <w:rPr>
          <w:rFonts w:ascii="Arial" w:hAnsi="Arial" w:cs="Arial"/>
          <w:lang w:val="en-GB"/>
        </w:rPr>
        <w:t>2016.</w:t>
      </w:r>
    </w:p>
    <w:p w14:paraId="213BEDC9" w14:textId="77777777" w:rsidR="00BA5744" w:rsidRPr="00575D0C" w:rsidRDefault="00BA5744" w:rsidP="00575D0C">
      <w:pPr>
        <w:spacing w:line="240" w:lineRule="auto"/>
        <w:jc w:val="both"/>
        <w:rPr>
          <w:rFonts w:ascii="Arial" w:hAnsi="Arial" w:cs="Arial"/>
          <w:lang w:val="en-US"/>
        </w:rPr>
      </w:pPr>
      <w:r w:rsidRPr="00575D0C">
        <w:rPr>
          <w:rFonts w:ascii="Arial" w:hAnsi="Arial" w:cs="Arial"/>
          <w:lang w:val="en-US"/>
        </w:rPr>
        <w:t>V</w:t>
      </w:r>
      <w:r w:rsidR="00B45158">
        <w:rPr>
          <w:rFonts w:ascii="Arial" w:hAnsi="Arial" w:cs="Arial"/>
          <w:lang w:val="en-US"/>
        </w:rPr>
        <w:t>an</w:t>
      </w:r>
      <w:r w:rsidRPr="00575D0C">
        <w:rPr>
          <w:rFonts w:ascii="Arial" w:hAnsi="Arial" w:cs="Arial"/>
          <w:lang w:val="en-US"/>
        </w:rPr>
        <w:t xml:space="preserve"> </w:t>
      </w:r>
      <w:r w:rsidR="00B45158">
        <w:rPr>
          <w:rFonts w:ascii="Arial" w:hAnsi="Arial" w:cs="Arial"/>
          <w:lang w:val="en-US"/>
        </w:rPr>
        <w:t>Den</w:t>
      </w:r>
      <w:r w:rsidRPr="00575D0C">
        <w:rPr>
          <w:rFonts w:ascii="Arial" w:hAnsi="Arial" w:cs="Arial"/>
          <w:lang w:val="en-US"/>
        </w:rPr>
        <w:t xml:space="preserve"> </w:t>
      </w:r>
      <w:proofErr w:type="spellStart"/>
      <w:r w:rsidRPr="00575D0C">
        <w:rPr>
          <w:rFonts w:ascii="Arial" w:hAnsi="Arial" w:cs="Arial"/>
          <w:lang w:val="en-US"/>
        </w:rPr>
        <w:t>B</w:t>
      </w:r>
      <w:r w:rsidR="00B45158">
        <w:rPr>
          <w:rFonts w:ascii="Arial" w:hAnsi="Arial" w:cs="Arial"/>
          <w:lang w:val="en-US"/>
        </w:rPr>
        <w:t>ossche</w:t>
      </w:r>
      <w:proofErr w:type="spellEnd"/>
      <w:r w:rsidR="00B45158">
        <w:rPr>
          <w:rFonts w:ascii="Arial" w:hAnsi="Arial" w:cs="Arial"/>
          <w:lang w:val="en-US"/>
        </w:rPr>
        <w:t>, P.,</w:t>
      </w:r>
      <w:r w:rsidRPr="00575D0C">
        <w:rPr>
          <w:rFonts w:ascii="Arial" w:hAnsi="Arial" w:cs="Arial"/>
          <w:lang w:val="en-US"/>
        </w:rPr>
        <w:t xml:space="preserve"> </w:t>
      </w:r>
      <w:proofErr w:type="spellStart"/>
      <w:r w:rsidRPr="00575D0C">
        <w:rPr>
          <w:rFonts w:ascii="Arial" w:hAnsi="Arial" w:cs="Arial"/>
          <w:lang w:val="en-US"/>
        </w:rPr>
        <w:t>Z</w:t>
      </w:r>
      <w:r w:rsidR="00B45158">
        <w:rPr>
          <w:rFonts w:ascii="Arial" w:hAnsi="Arial" w:cs="Arial"/>
          <w:lang w:val="en-US"/>
        </w:rPr>
        <w:t>douc</w:t>
      </w:r>
      <w:proofErr w:type="spellEnd"/>
      <w:r w:rsidRPr="00575D0C">
        <w:rPr>
          <w:rFonts w:ascii="Arial" w:hAnsi="Arial" w:cs="Arial"/>
          <w:lang w:val="en-US"/>
        </w:rPr>
        <w:t>, W</w:t>
      </w:r>
      <w:r w:rsidR="00B45158">
        <w:rPr>
          <w:rFonts w:ascii="Arial" w:hAnsi="Arial" w:cs="Arial"/>
          <w:lang w:val="en-US"/>
        </w:rPr>
        <w:t>.</w:t>
      </w:r>
      <w:r w:rsidR="00C65FED">
        <w:rPr>
          <w:rFonts w:ascii="Arial" w:hAnsi="Arial" w:cs="Arial"/>
          <w:lang w:val="en-US"/>
        </w:rPr>
        <w:t xml:space="preserve"> (2013).</w:t>
      </w:r>
      <w:r w:rsidRPr="00575D0C">
        <w:rPr>
          <w:rFonts w:ascii="Arial" w:hAnsi="Arial" w:cs="Arial"/>
          <w:lang w:val="en-US"/>
        </w:rPr>
        <w:t xml:space="preserve"> </w:t>
      </w:r>
      <w:r w:rsidRPr="00575D0C">
        <w:rPr>
          <w:rFonts w:ascii="Arial" w:hAnsi="Arial" w:cs="Arial"/>
          <w:i/>
          <w:lang w:val="en-US"/>
        </w:rPr>
        <w:t xml:space="preserve">The Law and Policy of the World Trade Organization, </w:t>
      </w:r>
      <w:r w:rsidRPr="00575D0C">
        <w:rPr>
          <w:rFonts w:ascii="Arial" w:hAnsi="Arial" w:cs="Arial"/>
          <w:lang w:val="en-US"/>
        </w:rPr>
        <w:t>3</w:t>
      </w:r>
      <w:r w:rsidRPr="00575D0C">
        <w:rPr>
          <w:rFonts w:ascii="Arial" w:hAnsi="Arial" w:cs="Arial"/>
          <w:vertAlign w:val="superscript"/>
          <w:lang w:val="en-US"/>
        </w:rPr>
        <w:t>rd</w:t>
      </w:r>
      <w:r w:rsidRPr="00575D0C">
        <w:rPr>
          <w:rFonts w:ascii="Arial" w:hAnsi="Arial" w:cs="Arial"/>
          <w:lang w:val="en-US"/>
        </w:rPr>
        <w:t xml:space="preserve"> ed. Cambridge: Cambridge University Press, p. 352.</w:t>
      </w:r>
    </w:p>
    <w:p w14:paraId="131DEDAC" w14:textId="77777777" w:rsidR="001A10EC" w:rsidRDefault="002315B8" w:rsidP="00575D0C">
      <w:pPr>
        <w:spacing w:line="240" w:lineRule="auto"/>
        <w:jc w:val="both"/>
        <w:rPr>
          <w:rFonts w:ascii="Arial" w:hAnsi="Arial" w:cs="Arial"/>
          <w:lang w:val="en-US"/>
        </w:rPr>
      </w:pPr>
      <w:r w:rsidRPr="00575D0C">
        <w:rPr>
          <w:rFonts w:ascii="Arial" w:hAnsi="Arial" w:cs="Arial"/>
          <w:lang w:val="en-US"/>
        </w:rPr>
        <w:t>W</w:t>
      </w:r>
      <w:r w:rsidR="0002455A">
        <w:rPr>
          <w:rFonts w:ascii="Arial" w:hAnsi="Arial" w:cs="Arial"/>
          <w:lang w:val="en-US"/>
        </w:rPr>
        <w:t>eiss</w:t>
      </w:r>
      <w:r w:rsidRPr="00575D0C">
        <w:rPr>
          <w:rFonts w:ascii="Arial" w:hAnsi="Arial" w:cs="Arial"/>
          <w:lang w:val="en-US"/>
        </w:rPr>
        <w:t>, F</w:t>
      </w:r>
      <w:r w:rsidR="0002455A">
        <w:rPr>
          <w:rFonts w:ascii="Arial" w:hAnsi="Arial" w:cs="Arial"/>
          <w:lang w:val="en-US"/>
        </w:rPr>
        <w:t>.</w:t>
      </w:r>
      <w:r w:rsidRPr="00575D0C">
        <w:rPr>
          <w:rFonts w:ascii="Arial" w:hAnsi="Arial" w:cs="Arial"/>
          <w:lang w:val="en-US"/>
        </w:rPr>
        <w:t xml:space="preserve"> Trade and Investment (Chap. 6)</w:t>
      </w:r>
      <w:r w:rsidR="0002455A">
        <w:rPr>
          <w:rFonts w:ascii="Arial" w:hAnsi="Arial" w:cs="Arial"/>
          <w:lang w:val="en-US"/>
        </w:rPr>
        <w:t xml:space="preserve"> (2008)</w:t>
      </w:r>
      <w:r w:rsidRPr="00575D0C">
        <w:rPr>
          <w:rFonts w:ascii="Arial" w:hAnsi="Arial" w:cs="Arial"/>
          <w:lang w:val="en-US"/>
        </w:rPr>
        <w:t xml:space="preserve">. </w:t>
      </w:r>
      <w:r w:rsidRPr="00575D0C">
        <w:rPr>
          <w:rFonts w:ascii="Arial" w:hAnsi="Arial" w:cs="Arial"/>
          <w:lang w:val="it-IT"/>
        </w:rPr>
        <w:t>In.: M</w:t>
      </w:r>
      <w:r w:rsidR="0002455A">
        <w:rPr>
          <w:rFonts w:ascii="Arial" w:hAnsi="Arial" w:cs="Arial"/>
          <w:lang w:val="it-IT"/>
        </w:rPr>
        <w:t>uchlinsky</w:t>
      </w:r>
      <w:r w:rsidRPr="00575D0C">
        <w:rPr>
          <w:rFonts w:ascii="Arial" w:hAnsi="Arial" w:cs="Arial"/>
          <w:lang w:val="it-IT"/>
        </w:rPr>
        <w:t>, P</w:t>
      </w:r>
      <w:r w:rsidR="0002455A">
        <w:rPr>
          <w:rFonts w:ascii="Arial" w:hAnsi="Arial" w:cs="Arial"/>
          <w:lang w:val="it-IT"/>
        </w:rPr>
        <w:t>.,</w:t>
      </w:r>
      <w:r w:rsidRPr="00575D0C">
        <w:rPr>
          <w:rFonts w:ascii="Arial" w:hAnsi="Arial" w:cs="Arial"/>
          <w:lang w:val="it-IT"/>
        </w:rPr>
        <w:t xml:space="preserve"> O</w:t>
      </w:r>
      <w:r w:rsidR="0002455A">
        <w:rPr>
          <w:rFonts w:ascii="Arial" w:hAnsi="Arial" w:cs="Arial"/>
          <w:lang w:val="it-IT"/>
        </w:rPr>
        <w:t>rtino</w:t>
      </w:r>
      <w:r w:rsidRPr="00575D0C">
        <w:rPr>
          <w:rFonts w:ascii="Arial" w:hAnsi="Arial" w:cs="Arial"/>
          <w:lang w:val="it-IT"/>
        </w:rPr>
        <w:t>, F</w:t>
      </w:r>
      <w:r w:rsidR="0002455A">
        <w:rPr>
          <w:rFonts w:ascii="Arial" w:hAnsi="Arial" w:cs="Arial"/>
          <w:lang w:val="it-IT"/>
        </w:rPr>
        <w:t>.</w:t>
      </w:r>
      <w:r w:rsidRPr="00575D0C">
        <w:rPr>
          <w:rFonts w:ascii="Arial" w:hAnsi="Arial" w:cs="Arial"/>
          <w:lang w:val="it-IT"/>
        </w:rPr>
        <w:t>; S</w:t>
      </w:r>
      <w:r w:rsidR="0002455A">
        <w:rPr>
          <w:rFonts w:ascii="Arial" w:hAnsi="Arial" w:cs="Arial"/>
          <w:lang w:val="it-IT"/>
        </w:rPr>
        <w:t>chreuer</w:t>
      </w:r>
      <w:r w:rsidRPr="00575D0C">
        <w:rPr>
          <w:rFonts w:ascii="Arial" w:hAnsi="Arial" w:cs="Arial"/>
          <w:lang w:val="it-IT"/>
        </w:rPr>
        <w:t>, C</w:t>
      </w:r>
      <w:r w:rsidR="0002455A">
        <w:rPr>
          <w:rFonts w:ascii="Arial" w:hAnsi="Arial" w:cs="Arial"/>
          <w:lang w:val="it-IT"/>
        </w:rPr>
        <w:t>.</w:t>
      </w:r>
      <w:r w:rsidRPr="00575D0C">
        <w:rPr>
          <w:rFonts w:ascii="Arial" w:hAnsi="Arial" w:cs="Arial"/>
          <w:lang w:val="it-IT"/>
        </w:rPr>
        <w:t xml:space="preserve"> </w:t>
      </w:r>
      <w:r w:rsidR="0002455A">
        <w:rPr>
          <w:rFonts w:ascii="Arial" w:hAnsi="Arial" w:cs="Arial"/>
          <w:lang w:val="it-IT"/>
        </w:rPr>
        <w:t>(</w:t>
      </w:r>
      <w:r w:rsidRPr="00575D0C">
        <w:rPr>
          <w:rFonts w:ascii="Arial" w:hAnsi="Arial" w:cs="Arial"/>
          <w:lang w:val="it-IT"/>
        </w:rPr>
        <w:t>ed</w:t>
      </w:r>
      <w:r w:rsidR="0002455A">
        <w:rPr>
          <w:rFonts w:ascii="Arial" w:hAnsi="Arial" w:cs="Arial"/>
          <w:lang w:val="it-IT"/>
        </w:rPr>
        <w:t>s)</w:t>
      </w:r>
      <w:r w:rsidRPr="00575D0C">
        <w:rPr>
          <w:rFonts w:ascii="Arial" w:hAnsi="Arial" w:cs="Arial"/>
          <w:lang w:val="it-IT"/>
        </w:rPr>
        <w:t xml:space="preserve"> </w:t>
      </w:r>
      <w:r w:rsidRPr="0002455A">
        <w:rPr>
          <w:rFonts w:ascii="Arial" w:hAnsi="Arial" w:cs="Arial"/>
          <w:lang w:val="en-US"/>
        </w:rPr>
        <w:t>The Oxford Handbook of International Investment Law</w:t>
      </w:r>
      <w:r w:rsidR="0002455A">
        <w:rPr>
          <w:rFonts w:ascii="Arial" w:hAnsi="Arial" w:cs="Arial"/>
          <w:lang w:val="en-US"/>
        </w:rPr>
        <w:t xml:space="preserve">, </w:t>
      </w:r>
      <w:r w:rsidR="0002455A" w:rsidRPr="00575D0C">
        <w:rPr>
          <w:rFonts w:ascii="Arial" w:hAnsi="Arial" w:cs="Arial"/>
          <w:lang w:val="en-US"/>
        </w:rPr>
        <w:t>Oxford: Oxford University Press</w:t>
      </w:r>
      <w:r w:rsidR="0002455A">
        <w:rPr>
          <w:rFonts w:ascii="Arial" w:hAnsi="Arial" w:cs="Arial"/>
          <w:lang w:val="en-US"/>
        </w:rPr>
        <w:t>,</w:t>
      </w:r>
      <w:r w:rsidR="001A10EC" w:rsidRPr="0002455A">
        <w:rPr>
          <w:rFonts w:ascii="Arial" w:hAnsi="Arial" w:cs="Arial"/>
          <w:lang w:val="en-US"/>
        </w:rPr>
        <w:t xml:space="preserve">  </w:t>
      </w:r>
      <w:r w:rsidR="0002455A" w:rsidRPr="00BE20C3">
        <w:rPr>
          <w:rFonts w:ascii="Arial" w:hAnsi="Arial" w:cs="Arial"/>
          <w:lang w:val="en-US"/>
        </w:rPr>
        <w:t>pp. 187 and 192.</w:t>
      </w:r>
    </w:p>
    <w:p w14:paraId="7E33950E" w14:textId="77777777" w:rsidR="00B731B5" w:rsidRDefault="00B731B5" w:rsidP="00575D0C">
      <w:pPr>
        <w:spacing w:line="240" w:lineRule="auto"/>
        <w:jc w:val="both"/>
        <w:rPr>
          <w:rFonts w:ascii="Arial" w:hAnsi="Arial" w:cs="Arial"/>
          <w:lang w:val="en-US"/>
        </w:rPr>
      </w:pPr>
    </w:p>
    <w:p w14:paraId="1BEA356C" w14:textId="77777777" w:rsidR="00B731B5" w:rsidRDefault="00B731B5" w:rsidP="00575D0C">
      <w:pPr>
        <w:spacing w:line="240" w:lineRule="auto"/>
        <w:jc w:val="both"/>
        <w:rPr>
          <w:rFonts w:ascii="Arial" w:hAnsi="Arial" w:cs="Arial"/>
          <w:b/>
          <w:sz w:val="24"/>
          <w:szCs w:val="24"/>
          <w:lang w:val="en-US"/>
        </w:rPr>
      </w:pPr>
      <w:r>
        <w:rPr>
          <w:rFonts w:ascii="Arial" w:hAnsi="Arial" w:cs="Arial"/>
          <w:b/>
          <w:sz w:val="24"/>
          <w:szCs w:val="24"/>
          <w:lang w:val="en-US"/>
        </w:rPr>
        <w:t>C</w:t>
      </w:r>
      <w:r w:rsidR="00FE56A9">
        <w:rPr>
          <w:rFonts w:ascii="Arial" w:hAnsi="Arial" w:cs="Arial"/>
          <w:b/>
          <w:sz w:val="24"/>
          <w:szCs w:val="24"/>
          <w:lang w:val="en-US"/>
        </w:rPr>
        <w:t>ase Law</w:t>
      </w:r>
    </w:p>
    <w:p w14:paraId="0310231D" w14:textId="77777777" w:rsidR="00695A61" w:rsidRPr="00F51AB9" w:rsidRDefault="00695A61" w:rsidP="00575D0C">
      <w:pPr>
        <w:spacing w:line="240" w:lineRule="auto"/>
        <w:jc w:val="both"/>
        <w:rPr>
          <w:rFonts w:ascii="Arial" w:hAnsi="Arial" w:cs="Arial"/>
          <w:lang w:val="en-US"/>
        </w:rPr>
      </w:pPr>
      <w:r w:rsidRPr="00F51AB9">
        <w:rPr>
          <w:rFonts w:ascii="Arial" w:hAnsi="Arial" w:cs="Arial"/>
          <w:i/>
          <w:lang w:val="en-US"/>
        </w:rPr>
        <w:t xml:space="preserve">Canada – Administration of Foreign Investment Review Act </w:t>
      </w:r>
      <w:r w:rsidRPr="00F51AB9">
        <w:rPr>
          <w:rFonts w:ascii="Arial" w:hAnsi="Arial" w:cs="Arial"/>
          <w:lang w:val="en-US"/>
        </w:rPr>
        <w:t>(DS L/550</w:t>
      </w:r>
      <w:r w:rsidR="00A655D7" w:rsidRPr="00F51AB9">
        <w:rPr>
          <w:rFonts w:ascii="Arial" w:hAnsi="Arial" w:cs="Arial"/>
          <w:lang w:val="en-US"/>
        </w:rPr>
        <w:t>4 – 30S/140)</w:t>
      </w:r>
      <w:r w:rsidRPr="00F51AB9">
        <w:rPr>
          <w:rFonts w:ascii="Arial" w:hAnsi="Arial" w:cs="Arial"/>
          <w:lang w:val="en-US"/>
        </w:rPr>
        <w:t xml:space="preserve">, Panel Report adopted on </w:t>
      </w:r>
      <w:r w:rsidR="0035763D" w:rsidRPr="00F51AB9">
        <w:rPr>
          <w:rFonts w:ascii="Arial" w:hAnsi="Arial" w:cs="Arial"/>
          <w:lang w:val="en-US"/>
        </w:rPr>
        <w:t>February</w:t>
      </w:r>
      <w:r w:rsidR="00511800" w:rsidRPr="00F51AB9">
        <w:rPr>
          <w:rFonts w:ascii="Arial" w:hAnsi="Arial" w:cs="Arial"/>
          <w:lang w:val="en-US"/>
        </w:rPr>
        <w:t xml:space="preserve"> 7</w:t>
      </w:r>
      <w:r w:rsidR="00187C67">
        <w:rPr>
          <w:rFonts w:ascii="Arial" w:hAnsi="Arial" w:cs="Arial"/>
          <w:lang w:val="en-US"/>
        </w:rPr>
        <w:t>,</w:t>
      </w:r>
      <w:r w:rsidRPr="00F51AB9">
        <w:rPr>
          <w:rFonts w:ascii="Arial" w:hAnsi="Arial" w:cs="Arial"/>
          <w:lang w:val="en-US"/>
        </w:rPr>
        <w:t xml:space="preserve"> 1984.</w:t>
      </w:r>
    </w:p>
    <w:p w14:paraId="1D1FCFD3" w14:textId="77777777" w:rsidR="00511800" w:rsidRPr="00F51AB9" w:rsidRDefault="00511800" w:rsidP="00511800">
      <w:pPr>
        <w:pStyle w:val="Ttulo1"/>
        <w:spacing w:before="0" w:line="240" w:lineRule="auto"/>
        <w:jc w:val="both"/>
        <w:rPr>
          <w:rFonts w:ascii="Arial" w:hAnsi="Arial" w:cs="Arial"/>
          <w:sz w:val="22"/>
          <w:szCs w:val="22"/>
          <w:lang w:val="en-US"/>
        </w:rPr>
      </w:pPr>
      <w:r w:rsidRPr="00F51AB9">
        <w:rPr>
          <w:rFonts w:ascii="Arial" w:hAnsi="Arial" w:cs="Arial"/>
          <w:b w:val="0"/>
          <w:i/>
          <w:color w:val="auto"/>
          <w:sz w:val="22"/>
          <w:szCs w:val="22"/>
          <w:lang w:val="en-US"/>
        </w:rPr>
        <w:t>Indonesia – Certain Measures Affecting the Automobile Industry (Indonesia Autos)</w:t>
      </w:r>
      <w:r w:rsidRPr="00F51AB9">
        <w:rPr>
          <w:rFonts w:ascii="Arial" w:hAnsi="Arial" w:cs="Arial"/>
          <w:b w:val="0"/>
          <w:color w:val="auto"/>
          <w:sz w:val="22"/>
          <w:szCs w:val="22"/>
          <w:lang w:val="en-US"/>
        </w:rPr>
        <w:t>,</w:t>
      </w:r>
      <w:r w:rsidRPr="00F51AB9">
        <w:rPr>
          <w:rFonts w:ascii="Arial" w:hAnsi="Arial" w:cs="Arial"/>
          <w:color w:val="auto"/>
          <w:sz w:val="22"/>
          <w:szCs w:val="22"/>
          <w:lang w:val="en-US"/>
        </w:rPr>
        <w:t xml:space="preserve"> </w:t>
      </w:r>
      <w:r w:rsidRPr="00F51AB9">
        <w:rPr>
          <w:rFonts w:ascii="Arial" w:hAnsi="Arial" w:cs="Arial"/>
          <w:b w:val="0"/>
          <w:color w:val="auto"/>
          <w:sz w:val="22"/>
          <w:szCs w:val="22"/>
          <w:lang w:val="en-US"/>
        </w:rPr>
        <w:t>DS54, DS55, DS59, DS64, report of the Panel adopted on July 23, 1998.</w:t>
      </w:r>
    </w:p>
    <w:p w14:paraId="6874A5A6" w14:textId="77777777" w:rsidR="00511800" w:rsidRPr="00F51AB9" w:rsidRDefault="00511800" w:rsidP="00511800">
      <w:pPr>
        <w:pStyle w:val="Ttulo1"/>
        <w:spacing w:before="0" w:line="240" w:lineRule="auto"/>
        <w:jc w:val="both"/>
        <w:rPr>
          <w:rFonts w:ascii="Arial" w:hAnsi="Arial" w:cs="Arial"/>
          <w:b w:val="0"/>
          <w:i/>
          <w:color w:val="auto"/>
          <w:sz w:val="22"/>
          <w:szCs w:val="22"/>
          <w:lang w:val="en-US"/>
        </w:rPr>
      </w:pPr>
    </w:p>
    <w:p w14:paraId="5E03B389" w14:textId="77777777" w:rsidR="00511800" w:rsidRPr="00F51AB9" w:rsidRDefault="00511800" w:rsidP="00511800">
      <w:pPr>
        <w:pStyle w:val="Ttulo1"/>
        <w:spacing w:before="0" w:line="240" w:lineRule="auto"/>
        <w:jc w:val="both"/>
        <w:rPr>
          <w:rFonts w:ascii="Arial" w:hAnsi="Arial" w:cs="Arial"/>
          <w:sz w:val="22"/>
          <w:szCs w:val="22"/>
          <w:lang w:val="en-US"/>
        </w:rPr>
      </w:pPr>
      <w:r w:rsidRPr="00F51AB9">
        <w:rPr>
          <w:rFonts w:ascii="Arial" w:hAnsi="Arial" w:cs="Arial"/>
          <w:b w:val="0"/>
          <w:i/>
          <w:color w:val="auto"/>
          <w:sz w:val="22"/>
          <w:szCs w:val="22"/>
          <w:lang w:val="en-US"/>
        </w:rPr>
        <w:t>Canada – Certain Measures Affecting the Automotive Industry (Canada – Autos)</w:t>
      </w:r>
      <w:r w:rsidRPr="00F51AB9">
        <w:rPr>
          <w:rFonts w:ascii="Arial" w:hAnsi="Arial" w:cs="Arial"/>
          <w:b w:val="0"/>
          <w:color w:val="auto"/>
          <w:sz w:val="22"/>
          <w:szCs w:val="22"/>
          <w:lang w:val="en-US"/>
        </w:rPr>
        <w:t>, DS139, DS124, AB Report adopted on June 19, 2000.</w:t>
      </w:r>
    </w:p>
    <w:p w14:paraId="4F0B6DA1" w14:textId="77777777" w:rsidR="0087237A" w:rsidRPr="00F51AB9" w:rsidRDefault="0087237A" w:rsidP="0035763D">
      <w:pPr>
        <w:pStyle w:val="Textodenotaderodap"/>
        <w:jc w:val="both"/>
        <w:rPr>
          <w:rFonts w:ascii="Arial" w:hAnsi="Arial" w:cs="Arial"/>
          <w:i/>
          <w:sz w:val="22"/>
          <w:szCs w:val="22"/>
          <w:lang w:val="en-US"/>
        </w:rPr>
      </w:pPr>
    </w:p>
    <w:p w14:paraId="047991AF" w14:textId="77777777" w:rsidR="00511800" w:rsidRPr="00F51AB9" w:rsidRDefault="00511800" w:rsidP="00511800">
      <w:pPr>
        <w:pStyle w:val="Textodenotaderodap"/>
        <w:jc w:val="both"/>
        <w:rPr>
          <w:rFonts w:ascii="Arial" w:hAnsi="Arial" w:cs="Arial"/>
          <w:sz w:val="22"/>
          <w:szCs w:val="22"/>
          <w:lang w:val="en-US"/>
        </w:rPr>
      </w:pPr>
      <w:r w:rsidRPr="00F51AB9">
        <w:rPr>
          <w:rFonts w:ascii="Arial" w:hAnsi="Arial" w:cs="Arial"/>
          <w:i/>
          <w:sz w:val="22"/>
          <w:szCs w:val="22"/>
          <w:lang w:val="en-US"/>
        </w:rPr>
        <w:t>India – Measures Affecting the Automotive Sector</w:t>
      </w:r>
      <w:r w:rsidRPr="00F51AB9">
        <w:rPr>
          <w:rFonts w:ascii="Arial" w:hAnsi="Arial" w:cs="Arial"/>
          <w:sz w:val="22"/>
          <w:szCs w:val="22"/>
          <w:lang w:val="en-US"/>
        </w:rPr>
        <w:t xml:space="preserve"> and </w:t>
      </w:r>
      <w:r w:rsidRPr="00F51AB9">
        <w:rPr>
          <w:rFonts w:ascii="Arial" w:hAnsi="Arial" w:cs="Arial"/>
          <w:i/>
          <w:sz w:val="22"/>
          <w:szCs w:val="22"/>
          <w:lang w:val="en-US"/>
        </w:rPr>
        <w:t>India – Measures Affecting Trade and Investment in the Motor Vehicle Sector</w:t>
      </w:r>
      <w:r w:rsidRPr="00F51AB9">
        <w:rPr>
          <w:rFonts w:ascii="Arial" w:hAnsi="Arial" w:cs="Arial"/>
          <w:sz w:val="22"/>
          <w:szCs w:val="22"/>
          <w:lang w:val="en-US"/>
        </w:rPr>
        <w:t>, DS146, DS175, Panels Reports adopted on April 5, 2002.</w:t>
      </w:r>
    </w:p>
    <w:p w14:paraId="46D69208" w14:textId="77777777" w:rsidR="00511800" w:rsidRPr="00F51AB9" w:rsidRDefault="00511800" w:rsidP="00511800">
      <w:pPr>
        <w:pStyle w:val="Textodenotaderodap"/>
        <w:jc w:val="both"/>
        <w:rPr>
          <w:rFonts w:ascii="Arial" w:hAnsi="Arial" w:cs="Arial"/>
          <w:sz w:val="22"/>
          <w:szCs w:val="22"/>
          <w:lang w:val="en-US"/>
        </w:rPr>
      </w:pPr>
    </w:p>
    <w:p w14:paraId="30AD243C" w14:textId="77777777" w:rsidR="00511800" w:rsidRPr="00F51AB9" w:rsidRDefault="00511800" w:rsidP="00511800">
      <w:pPr>
        <w:pStyle w:val="Textodenotaderodap"/>
        <w:rPr>
          <w:rFonts w:ascii="Arial" w:hAnsi="Arial" w:cs="Arial"/>
          <w:sz w:val="22"/>
          <w:szCs w:val="22"/>
          <w:lang w:val="en-US"/>
        </w:rPr>
      </w:pPr>
      <w:r w:rsidRPr="00F51AB9">
        <w:rPr>
          <w:rFonts w:ascii="Arial" w:hAnsi="Arial" w:cs="Arial"/>
          <w:i/>
          <w:sz w:val="22"/>
          <w:szCs w:val="22"/>
          <w:lang w:val="en-US"/>
        </w:rPr>
        <w:t>China – Measures Affecting Imports of Automobile Parts, DS339, DS340, DS342</w:t>
      </w:r>
      <w:r w:rsidRPr="00F51AB9">
        <w:rPr>
          <w:rFonts w:ascii="Arial" w:hAnsi="Arial" w:cs="Arial"/>
          <w:sz w:val="22"/>
          <w:szCs w:val="22"/>
          <w:lang w:val="en-US"/>
        </w:rPr>
        <w:t>, Panel and AB reports adopted on January 12, 2009.</w:t>
      </w:r>
    </w:p>
    <w:p w14:paraId="7D53D7C7" w14:textId="77777777" w:rsidR="0087237A" w:rsidRPr="00F51AB9" w:rsidRDefault="0087237A" w:rsidP="0035763D">
      <w:pPr>
        <w:pStyle w:val="Textodenotaderodap"/>
        <w:jc w:val="both"/>
        <w:rPr>
          <w:rFonts w:ascii="Arial" w:hAnsi="Arial" w:cs="Arial"/>
          <w:i/>
          <w:sz w:val="22"/>
          <w:szCs w:val="22"/>
          <w:lang w:val="en-US"/>
        </w:rPr>
      </w:pPr>
    </w:p>
    <w:p w14:paraId="1489E029" w14:textId="77777777" w:rsidR="0035763D" w:rsidRPr="00F51AB9" w:rsidRDefault="0035763D" w:rsidP="0035763D">
      <w:pPr>
        <w:pStyle w:val="Textodenotaderodap"/>
        <w:jc w:val="both"/>
        <w:rPr>
          <w:rFonts w:ascii="Arial" w:hAnsi="Arial" w:cs="Arial"/>
          <w:sz w:val="22"/>
          <w:szCs w:val="22"/>
          <w:lang w:val="en-GB"/>
        </w:rPr>
      </w:pPr>
      <w:r w:rsidRPr="00F51AB9">
        <w:rPr>
          <w:rFonts w:ascii="Arial" w:hAnsi="Arial" w:cs="Arial"/>
          <w:i/>
          <w:sz w:val="22"/>
          <w:szCs w:val="22"/>
          <w:lang w:val="en-US"/>
        </w:rPr>
        <w:t>Canada – Certain Measures Affecting the Renewable Energy Generation Sector</w:t>
      </w:r>
      <w:r w:rsidRPr="00F51AB9">
        <w:rPr>
          <w:rFonts w:ascii="Arial" w:hAnsi="Arial" w:cs="Arial"/>
          <w:sz w:val="22"/>
          <w:szCs w:val="22"/>
          <w:lang w:val="en-US"/>
        </w:rPr>
        <w:t xml:space="preserve"> and </w:t>
      </w:r>
      <w:r w:rsidRPr="00F51AB9">
        <w:rPr>
          <w:rFonts w:ascii="Arial" w:hAnsi="Arial" w:cs="Arial"/>
          <w:i/>
          <w:sz w:val="22"/>
          <w:szCs w:val="22"/>
          <w:lang w:val="en-US"/>
        </w:rPr>
        <w:t xml:space="preserve">Canada Measures Relating to the Feed-In Tariff </w:t>
      </w:r>
      <w:proofErr w:type="spellStart"/>
      <w:r w:rsidRPr="00F51AB9">
        <w:rPr>
          <w:rFonts w:ascii="Arial" w:hAnsi="Arial" w:cs="Arial"/>
          <w:i/>
          <w:sz w:val="22"/>
          <w:szCs w:val="22"/>
          <w:lang w:val="en-US"/>
        </w:rPr>
        <w:t>Programme</w:t>
      </w:r>
      <w:proofErr w:type="spellEnd"/>
      <w:r w:rsidR="00511800" w:rsidRPr="00F51AB9">
        <w:rPr>
          <w:rFonts w:ascii="Arial" w:hAnsi="Arial" w:cs="Arial"/>
          <w:sz w:val="22"/>
          <w:szCs w:val="22"/>
          <w:lang w:val="en-US"/>
        </w:rPr>
        <w:t xml:space="preserve"> (Canada Feed – In Tariff </w:t>
      </w:r>
      <w:proofErr w:type="spellStart"/>
      <w:r w:rsidR="00511800" w:rsidRPr="00F51AB9">
        <w:rPr>
          <w:rFonts w:ascii="Arial" w:hAnsi="Arial" w:cs="Arial"/>
          <w:sz w:val="22"/>
          <w:szCs w:val="22"/>
          <w:lang w:val="en-US"/>
        </w:rPr>
        <w:t>Programme</w:t>
      </w:r>
      <w:proofErr w:type="spellEnd"/>
      <w:r w:rsidR="00511800" w:rsidRPr="00F51AB9">
        <w:rPr>
          <w:rFonts w:ascii="Arial" w:hAnsi="Arial" w:cs="Arial"/>
          <w:sz w:val="22"/>
          <w:szCs w:val="22"/>
          <w:lang w:val="en-US"/>
        </w:rPr>
        <w:t>),</w:t>
      </w:r>
      <w:r w:rsidRPr="00F51AB9">
        <w:rPr>
          <w:rFonts w:ascii="Arial" w:hAnsi="Arial" w:cs="Arial"/>
          <w:sz w:val="22"/>
          <w:szCs w:val="22"/>
          <w:lang w:val="en-US"/>
        </w:rPr>
        <w:t xml:space="preserve"> </w:t>
      </w:r>
      <w:r w:rsidRPr="00F51AB9">
        <w:rPr>
          <w:rFonts w:ascii="Arial" w:hAnsi="Arial" w:cs="Arial"/>
          <w:sz w:val="22"/>
          <w:szCs w:val="22"/>
          <w:lang w:val="en-GB"/>
        </w:rPr>
        <w:t>WT/DS412/AB/R, DS426/AB/R, circulated on May</w:t>
      </w:r>
      <w:r w:rsidR="00511800" w:rsidRPr="00F51AB9">
        <w:rPr>
          <w:rFonts w:ascii="Arial" w:hAnsi="Arial" w:cs="Arial"/>
          <w:sz w:val="22"/>
          <w:szCs w:val="22"/>
          <w:lang w:val="en-GB"/>
        </w:rPr>
        <w:t xml:space="preserve"> 6</w:t>
      </w:r>
      <w:r w:rsidRPr="00F51AB9">
        <w:rPr>
          <w:rFonts w:ascii="Arial" w:hAnsi="Arial" w:cs="Arial"/>
          <w:sz w:val="22"/>
          <w:szCs w:val="22"/>
          <w:lang w:val="en-GB"/>
        </w:rPr>
        <w:t>, 2013.</w:t>
      </w:r>
    </w:p>
    <w:p w14:paraId="086949E8" w14:textId="77777777" w:rsidR="005A0E45" w:rsidRPr="00F51AB9" w:rsidRDefault="005A0E45" w:rsidP="0035763D">
      <w:pPr>
        <w:pStyle w:val="Textodenotaderodap"/>
        <w:jc w:val="both"/>
        <w:rPr>
          <w:rFonts w:ascii="Arial" w:hAnsi="Arial" w:cs="Arial"/>
          <w:sz w:val="22"/>
          <w:szCs w:val="22"/>
          <w:lang w:val="en-GB"/>
        </w:rPr>
      </w:pPr>
    </w:p>
    <w:p w14:paraId="4A4507EC" w14:textId="77777777" w:rsidR="004A4845" w:rsidRPr="00F51AB9" w:rsidRDefault="004A4845" w:rsidP="004A4845">
      <w:pPr>
        <w:pStyle w:val="Textodenotaderodap"/>
        <w:jc w:val="both"/>
        <w:rPr>
          <w:rFonts w:ascii="Arial" w:hAnsi="Arial" w:cs="Arial"/>
          <w:sz w:val="22"/>
          <w:szCs w:val="22"/>
          <w:lang w:val="en-US"/>
        </w:rPr>
      </w:pPr>
      <w:r w:rsidRPr="00F51AB9">
        <w:rPr>
          <w:rFonts w:ascii="Arial" w:hAnsi="Arial" w:cs="Arial"/>
          <w:i/>
          <w:sz w:val="22"/>
          <w:szCs w:val="22"/>
          <w:lang w:val="en-US"/>
        </w:rPr>
        <w:t>India – Certain Measures Relating to Solar Cells and Solar Modules</w:t>
      </w:r>
      <w:r w:rsidRPr="00F51AB9">
        <w:rPr>
          <w:rFonts w:ascii="Arial" w:hAnsi="Arial" w:cs="Arial"/>
          <w:sz w:val="22"/>
          <w:szCs w:val="22"/>
          <w:lang w:val="en-US"/>
        </w:rPr>
        <w:t>, DS456, Panel and AB Reports adopted on October 14, 2016.</w:t>
      </w:r>
    </w:p>
    <w:p w14:paraId="554DBCE1" w14:textId="77777777" w:rsidR="00511800" w:rsidRPr="00F51AB9" w:rsidRDefault="00511800" w:rsidP="0087237A">
      <w:pPr>
        <w:pStyle w:val="Textodenotaderodap"/>
        <w:jc w:val="both"/>
        <w:rPr>
          <w:rFonts w:ascii="Arial" w:hAnsi="Arial" w:cs="Arial"/>
          <w:i/>
          <w:sz w:val="22"/>
          <w:szCs w:val="22"/>
          <w:lang w:val="en-US"/>
        </w:rPr>
      </w:pPr>
    </w:p>
    <w:p w14:paraId="2253DCE8" w14:textId="77777777" w:rsidR="0087237A" w:rsidRPr="00F51AB9" w:rsidRDefault="0087237A" w:rsidP="0087237A">
      <w:pPr>
        <w:pStyle w:val="Textodenotaderodap"/>
        <w:jc w:val="both"/>
        <w:rPr>
          <w:rFonts w:ascii="Arial" w:hAnsi="Arial" w:cs="Arial"/>
          <w:sz w:val="22"/>
          <w:szCs w:val="22"/>
          <w:lang w:val="en-US"/>
        </w:rPr>
      </w:pPr>
      <w:r w:rsidRPr="00F51AB9">
        <w:rPr>
          <w:rFonts w:ascii="Arial" w:hAnsi="Arial" w:cs="Arial"/>
          <w:i/>
          <w:sz w:val="22"/>
          <w:szCs w:val="22"/>
          <w:lang w:val="en-US"/>
        </w:rPr>
        <w:t>Brazil – Certain Measures Concerning Taxation and Charge</w:t>
      </w:r>
      <w:r w:rsidRPr="00F51AB9">
        <w:rPr>
          <w:rFonts w:ascii="Arial" w:hAnsi="Arial" w:cs="Arial"/>
          <w:sz w:val="22"/>
          <w:szCs w:val="22"/>
          <w:lang w:val="en-US"/>
        </w:rPr>
        <w:t>, DS472/497</w:t>
      </w:r>
      <w:r w:rsidR="00511800" w:rsidRPr="00F51AB9">
        <w:rPr>
          <w:rFonts w:ascii="Arial" w:hAnsi="Arial" w:cs="Arial"/>
          <w:sz w:val="22"/>
          <w:szCs w:val="22"/>
          <w:lang w:val="en-US"/>
        </w:rPr>
        <w:t>,</w:t>
      </w:r>
      <w:r w:rsidRPr="00F51AB9">
        <w:rPr>
          <w:rFonts w:ascii="Arial" w:hAnsi="Arial" w:cs="Arial"/>
          <w:sz w:val="22"/>
          <w:szCs w:val="22"/>
          <w:lang w:val="en-US"/>
        </w:rPr>
        <w:t xml:space="preserve"> Panel’s Reports circulated on August 30, 2017.</w:t>
      </w:r>
    </w:p>
    <w:p w14:paraId="064E699B" w14:textId="77777777" w:rsidR="0087237A" w:rsidRPr="00F51AB9" w:rsidRDefault="0087237A" w:rsidP="00575D0C">
      <w:pPr>
        <w:spacing w:line="240" w:lineRule="auto"/>
        <w:jc w:val="both"/>
        <w:rPr>
          <w:rFonts w:ascii="Arial" w:hAnsi="Arial" w:cs="Arial"/>
          <w:lang w:val="en-US"/>
        </w:rPr>
      </w:pPr>
    </w:p>
    <w:sectPr w:rsidR="0087237A" w:rsidRPr="00F51AB9" w:rsidSect="007568D1">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EA0C" w14:textId="77777777" w:rsidR="00BB606A" w:rsidRDefault="00BB606A" w:rsidP="000A73AD">
      <w:pPr>
        <w:spacing w:after="0" w:line="240" w:lineRule="auto"/>
      </w:pPr>
      <w:r>
        <w:separator/>
      </w:r>
    </w:p>
  </w:endnote>
  <w:endnote w:type="continuationSeparator" w:id="0">
    <w:p w14:paraId="67868ABA" w14:textId="77777777" w:rsidR="00BB606A" w:rsidRDefault="00BB606A" w:rsidP="000A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4121"/>
      <w:docPartObj>
        <w:docPartGallery w:val="Page Numbers (Bottom of Page)"/>
        <w:docPartUnique/>
      </w:docPartObj>
    </w:sdtPr>
    <w:sdtEndPr/>
    <w:sdtContent>
      <w:p w14:paraId="183B0D4D" w14:textId="77777777" w:rsidR="0025107E" w:rsidRDefault="0025107E">
        <w:pPr>
          <w:pStyle w:val="Rodap"/>
          <w:jc w:val="center"/>
        </w:pPr>
        <w:r>
          <w:fldChar w:fldCharType="begin"/>
        </w:r>
        <w:r>
          <w:instrText xml:space="preserve"> PAGE   \* MERGEFORMAT </w:instrText>
        </w:r>
        <w:r>
          <w:fldChar w:fldCharType="separate"/>
        </w:r>
        <w:r w:rsidR="007E4F62">
          <w:rPr>
            <w:noProof/>
          </w:rPr>
          <w:t>1</w:t>
        </w:r>
        <w:r>
          <w:rPr>
            <w:noProof/>
          </w:rPr>
          <w:fldChar w:fldCharType="end"/>
        </w:r>
      </w:p>
    </w:sdtContent>
  </w:sdt>
  <w:p w14:paraId="2C79FA32" w14:textId="77777777" w:rsidR="0025107E" w:rsidRDefault="002510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61111" w14:textId="77777777" w:rsidR="00BB606A" w:rsidRDefault="00BB606A" w:rsidP="000A73AD">
      <w:pPr>
        <w:spacing w:after="0" w:line="240" w:lineRule="auto"/>
      </w:pPr>
      <w:r>
        <w:separator/>
      </w:r>
    </w:p>
  </w:footnote>
  <w:footnote w:type="continuationSeparator" w:id="0">
    <w:p w14:paraId="05CB2E35" w14:textId="77777777" w:rsidR="00BB606A" w:rsidRDefault="00BB606A" w:rsidP="000A73AD">
      <w:pPr>
        <w:spacing w:after="0" w:line="240" w:lineRule="auto"/>
      </w:pPr>
      <w:r>
        <w:continuationSeparator/>
      </w:r>
    </w:p>
  </w:footnote>
  <w:footnote w:id="1">
    <w:p w14:paraId="26C98DFD" w14:textId="77777777" w:rsidR="0025107E" w:rsidRPr="00C91686" w:rsidRDefault="0025107E" w:rsidP="009B2741">
      <w:pPr>
        <w:spacing w:line="240" w:lineRule="auto"/>
        <w:jc w:val="both"/>
        <w:rPr>
          <w:rFonts w:ascii="Arial" w:hAnsi="Arial" w:cs="Arial"/>
          <w:sz w:val="20"/>
          <w:szCs w:val="20"/>
          <w:lang w:val="en-US"/>
        </w:rPr>
      </w:pPr>
      <w:r w:rsidRPr="00C91686">
        <w:rPr>
          <w:rStyle w:val="Refdenotaderodap"/>
          <w:rFonts w:ascii="Arial" w:hAnsi="Arial" w:cs="Arial"/>
          <w:sz w:val="20"/>
          <w:szCs w:val="20"/>
          <w:lang w:val="en-US"/>
        </w:rPr>
        <w:t>⃰</w:t>
      </w:r>
      <w:r w:rsidRPr="00C91686">
        <w:rPr>
          <w:rFonts w:ascii="Arial" w:hAnsi="Arial" w:cs="Arial"/>
          <w:sz w:val="20"/>
          <w:szCs w:val="20"/>
          <w:lang w:val="en-US"/>
        </w:rPr>
        <w:t xml:space="preserve"> Full Professor of International Law at the University of São Paulo </w:t>
      </w:r>
      <w:proofErr w:type="spellStart"/>
      <w:r w:rsidRPr="00C91686">
        <w:rPr>
          <w:rFonts w:ascii="Arial" w:hAnsi="Arial" w:cs="Arial"/>
          <w:sz w:val="20"/>
          <w:szCs w:val="20"/>
          <w:lang w:val="en-US"/>
        </w:rPr>
        <w:t>Ribeirão</w:t>
      </w:r>
      <w:proofErr w:type="spellEnd"/>
      <w:r w:rsidRPr="00C91686">
        <w:rPr>
          <w:rFonts w:ascii="Arial" w:hAnsi="Arial" w:cs="Arial"/>
          <w:sz w:val="20"/>
          <w:szCs w:val="20"/>
          <w:lang w:val="en-US"/>
        </w:rPr>
        <w:t xml:space="preserve"> Preto Law School, Brazil. </w:t>
      </w:r>
    </w:p>
    <w:p w14:paraId="1D58D830" w14:textId="77777777" w:rsidR="0025107E" w:rsidRPr="00C91686" w:rsidRDefault="0025107E" w:rsidP="009B2741">
      <w:pPr>
        <w:spacing w:line="240" w:lineRule="auto"/>
        <w:jc w:val="both"/>
        <w:rPr>
          <w:rFonts w:ascii="Arial" w:hAnsi="Arial" w:cs="Arial"/>
          <w:sz w:val="20"/>
          <w:szCs w:val="20"/>
          <w:lang w:val="en-US"/>
        </w:rPr>
      </w:pPr>
      <w:r w:rsidRPr="00C91686">
        <w:rPr>
          <w:rFonts w:ascii="Arial" w:hAnsi="Arial" w:cs="Arial"/>
          <w:sz w:val="20"/>
          <w:szCs w:val="20"/>
          <w:lang w:val="en-US"/>
        </w:rPr>
        <w:t xml:space="preserve">e-mail: </w:t>
      </w:r>
      <w:hyperlink r:id="rId1" w:history="1">
        <w:r w:rsidRPr="00C91686">
          <w:rPr>
            <w:rStyle w:val="Hyperlink"/>
            <w:rFonts w:ascii="Arial" w:hAnsi="Arial" w:cs="Arial"/>
            <w:sz w:val="20"/>
            <w:szCs w:val="20"/>
            <w:lang w:val="en-US"/>
          </w:rPr>
          <w:t>umbcelli@usp.br</w:t>
        </w:r>
      </w:hyperlink>
    </w:p>
    <w:p w14:paraId="746A6288" w14:textId="77777777" w:rsidR="0025107E" w:rsidRDefault="0025107E" w:rsidP="009B2741">
      <w:pPr>
        <w:spacing w:line="240" w:lineRule="auto"/>
        <w:jc w:val="both"/>
        <w:rPr>
          <w:rFonts w:ascii="Times New Roman" w:hAnsi="Times New Roman" w:cs="Times New Roman"/>
          <w:sz w:val="20"/>
          <w:szCs w:val="20"/>
          <w:lang w:val="en-US"/>
        </w:rPr>
      </w:pPr>
    </w:p>
    <w:p w14:paraId="3052E4FB" w14:textId="77777777" w:rsidR="0025107E" w:rsidRDefault="0025107E" w:rsidP="009B2741">
      <w:pPr>
        <w:spacing w:line="240" w:lineRule="auto"/>
        <w:jc w:val="both"/>
        <w:rPr>
          <w:rFonts w:ascii="Times New Roman" w:hAnsi="Times New Roman" w:cs="Times New Roman"/>
          <w:sz w:val="20"/>
          <w:szCs w:val="20"/>
          <w:lang w:val="en-US"/>
        </w:rPr>
      </w:pPr>
    </w:p>
    <w:p w14:paraId="77274879" w14:textId="77777777" w:rsidR="0025107E" w:rsidRPr="00556BC0" w:rsidRDefault="0025107E" w:rsidP="009B2741">
      <w:pPr>
        <w:spacing w:line="240" w:lineRule="auto"/>
        <w:jc w:val="both"/>
        <w:rPr>
          <w:rFonts w:ascii="Times New Roman" w:hAnsi="Times New Roman" w:cs="Times New Roman"/>
          <w:sz w:val="20"/>
          <w:szCs w:val="20"/>
          <w:lang w:val="en-US"/>
        </w:rPr>
      </w:pPr>
    </w:p>
    <w:p w14:paraId="39143B40" w14:textId="77777777" w:rsidR="0025107E" w:rsidRPr="009B2741" w:rsidRDefault="0025107E">
      <w:pPr>
        <w:pStyle w:val="Textodenotaderodap"/>
        <w:rPr>
          <w:lang w:val="en-US"/>
        </w:rPr>
      </w:pPr>
    </w:p>
  </w:footnote>
  <w:footnote w:id="2">
    <w:p w14:paraId="5831D24D" w14:textId="77777777" w:rsidR="0025107E" w:rsidRPr="001C6B8C" w:rsidRDefault="0025107E" w:rsidP="00A27CC3">
      <w:pPr>
        <w:pStyle w:val="Textodenotaderodap"/>
        <w:jc w:val="both"/>
        <w:rPr>
          <w:rFonts w:ascii="Arial" w:hAnsi="Arial" w:cs="Arial"/>
          <w:lang w:val="en-US"/>
        </w:rPr>
      </w:pPr>
      <w:r w:rsidRPr="001C6B8C">
        <w:rPr>
          <w:rStyle w:val="Refdenotaderodap"/>
          <w:rFonts w:ascii="Arial" w:hAnsi="Arial" w:cs="Arial"/>
        </w:rPr>
        <w:footnoteRef/>
      </w:r>
      <w:r w:rsidRPr="001C6B8C">
        <w:rPr>
          <w:rFonts w:ascii="Arial" w:hAnsi="Arial" w:cs="Arial"/>
          <w:lang w:val="en-US"/>
        </w:rPr>
        <w:t xml:space="preserve"> See </w:t>
      </w:r>
      <w:proofErr w:type="spellStart"/>
      <w:r w:rsidRPr="001C6B8C">
        <w:rPr>
          <w:rFonts w:ascii="Arial" w:hAnsi="Arial" w:cs="Arial"/>
          <w:lang w:val="en-US"/>
        </w:rPr>
        <w:t>Bohanes</w:t>
      </w:r>
      <w:proofErr w:type="spellEnd"/>
      <w:r w:rsidRPr="001C6B8C">
        <w:rPr>
          <w:rFonts w:ascii="Arial" w:hAnsi="Arial" w:cs="Arial"/>
          <w:lang w:val="en-US"/>
        </w:rPr>
        <w:t xml:space="preserve"> (2015), p. 2</w:t>
      </w:r>
      <w:r>
        <w:rPr>
          <w:rFonts w:ascii="Arial" w:hAnsi="Arial" w:cs="Arial"/>
          <w:lang w:val="en-US"/>
        </w:rPr>
        <w:t>.</w:t>
      </w:r>
    </w:p>
  </w:footnote>
  <w:footnote w:id="3">
    <w:p w14:paraId="0A5DBBD4" w14:textId="77777777" w:rsidR="0025107E" w:rsidRPr="001C6B8C" w:rsidRDefault="0025107E" w:rsidP="00C57958">
      <w:pPr>
        <w:pStyle w:val="Textodenotaderodap"/>
        <w:jc w:val="both"/>
        <w:rPr>
          <w:rFonts w:ascii="Arial" w:hAnsi="Arial" w:cs="Arial"/>
          <w:lang w:val="en-US"/>
        </w:rPr>
      </w:pPr>
      <w:r w:rsidRPr="001C6B8C">
        <w:rPr>
          <w:rStyle w:val="Refdenotaderodap"/>
          <w:rFonts w:ascii="Arial" w:hAnsi="Arial" w:cs="Arial"/>
        </w:rPr>
        <w:footnoteRef/>
      </w:r>
      <w:r w:rsidRPr="001C6B8C">
        <w:rPr>
          <w:rFonts w:ascii="Arial" w:hAnsi="Arial" w:cs="Arial"/>
          <w:lang w:val="en-US"/>
        </w:rPr>
        <w:t xml:space="preserve"> </w:t>
      </w:r>
      <w:proofErr w:type="spellStart"/>
      <w:r w:rsidRPr="001C6B8C">
        <w:rPr>
          <w:rFonts w:ascii="Arial" w:hAnsi="Arial" w:cs="Arial"/>
          <w:lang w:val="en-US"/>
        </w:rPr>
        <w:t>Pauwelyn</w:t>
      </w:r>
      <w:proofErr w:type="spellEnd"/>
      <w:r w:rsidRPr="001C6B8C">
        <w:rPr>
          <w:rFonts w:ascii="Arial" w:hAnsi="Arial" w:cs="Arial"/>
          <w:lang w:val="en-US"/>
        </w:rPr>
        <w:t xml:space="preserve"> (2014), p. 12</w:t>
      </w:r>
      <w:r>
        <w:rPr>
          <w:rFonts w:ascii="Arial" w:hAnsi="Arial" w:cs="Arial"/>
          <w:lang w:val="en-US"/>
        </w:rPr>
        <w:t>.</w:t>
      </w:r>
    </w:p>
  </w:footnote>
  <w:footnote w:id="4">
    <w:p w14:paraId="48FB5E0D" w14:textId="77777777" w:rsidR="0025107E" w:rsidRPr="00BE20C3" w:rsidRDefault="0025107E" w:rsidP="00EF6360">
      <w:pPr>
        <w:pStyle w:val="Textodenotaderodap"/>
        <w:jc w:val="both"/>
        <w:rPr>
          <w:rFonts w:ascii="Arial" w:hAnsi="Arial" w:cs="Arial"/>
          <w:lang w:val="en-US"/>
        </w:rPr>
      </w:pPr>
      <w:r w:rsidRPr="00BE20C3">
        <w:rPr>
          <w:rStyle w:val="Refdenotaderodap"/>
          <w:rFonts w:ascii="Arial" w:hAnsi="Arial" w:cs="Arial"/>
        </w:rPr>
        <w:footnoteRef/>
      </w:r>
      <w:r w:rsidRPr="00BE20C3">
        <w:rPr>
          <w:rFonts w:ascii="Arial" w:hAnsi="Arial" w:cs="Arial"/>
          <w:lang w:val="en-US"/>
        </w:rPr>
        <w:t xml:space="preserve"> Weiss (2008), pp. 187 and 192.</w:t>
      </w:r>
    </w:p>
  </w:footnote>
  <w:footnote w:id="5">
    <w:p w14:paraId="6E53EEBD" w14:textId="77777777" w:rsidR="0025107E" w:rsidRPr="00BE20C3" w:rsidRDefault="0025107E">
      <w:pPr>
        <w:pStyle w:val="Textodenotaderodap"/>
        <w:rPr>
          <w:rFonts w:ascii="Arial" w:hAnsi="Arial" w:cs="Arial"/>
          <w:lang w:val="en-US"/>
        </w:rPr>
      </w:pPr>
      <w:r w:rsidRPr="00BE20C3">
        <w:rPr>
          <w:rStyle w:val="Refdenotaderodap"/>
          <w:rFonts w:ascii="Arial" w:hAnsi="Arial" w:cs="Arial"/>
        </w:rPr>
        <w:footnoteRef/>
      </w:r>
      <w:proofErr w:type="spellStart"/>
      <w:r>
        <w:rPr>
          <w:rFonts w:ascii="Arial" w:hAnsi="Arial" w:cs="Arial"/>
          <w:lang w:val="en-US"/>
        </w:rPr>
        <w:t>Muchlinsky</w:t>
      </w:r>
      <w:proofErr w:type="spellEnd"/>
      <w:r>
        <w:rPr>
          <w:rFonts w:ascii="Arial" w:hAnsi="Arial" w:cs="Arial"/>
          <w:lang w:val="en-US"/>
        </w:rPr>
        <w:t xml:space="preserve"> (2008), pp. 31-32.</w:t>
      </w:r>
    </w:p>
  </w:footnote>
  <w:footnote w:id="6">
    <w:p w14:paraId="24FAB695" w14:textId="77777777" w:rsidR="0025107E" w:rsidRPr="00BE20C3" w:rsidRDefault="0025107E" w:rsidP="00FC6751">
      <w:pPr>
        <w:pStyle w:val="Textodenotaderodap"/>
        <w:jc w:val="both"/>
        <w:rPr>
          <w:rFonts w:ascii="Arial" w:hAnsi="Arial" w:cs="Arial"/>
          <w:lang w:val="en-US"/>
        </w:rPr>
      </w:pPr>
      <w:r w:rsidRPr="00BE20C3">
        <w:rPr>
          <w:rStyle w:val="Refdenotaderodap"/>
          <w:rFonts w:ascii="Arial" w:hAnsi="Arial" w:cs="Arial"/>
        </w:rPr>
        <w:footnoteRef/>
      </w:r>
      <w:r>
        <w:rPr>
          <w:rFonts w:ascii="Arial" w:hAnsi="Arial" w:cs="Arial"/>
          <w:lang w:val="en-US"/>
        </w:rPr>
        <w:t xml:space="preserve"> See Cimino, </w:t>
      </w:r>
      <w:proofErr w:type="spellStart"/>
      <w:r>
        <w:rPr>
          <w:rFonts w:ascii="Arial" w:hAnsi="Arial" w:cs="Arial"/>
          <w:lang w:val="en-US"/>
        </w:rPr>
        <w:t>Hafbauer</w:t>
      </w:r>
      <w:proofErr w:type="spellEnd"/>
      <w:r>
        <w:rPr>
          <w:rFonts w:ascii="Arial" w:hAnsi="Arial" w:cs="Arial"/>
          <w:lang w:val="en-US"/>
        </w:rPr>
        <w:t xml:space="preserve">, </w:t>
      </w:r>
      <w:proofErr w:type="spellStart"/>
      <w:r>
        <w:rPr>
          <w:rFonts w:ascii="Arial" w:hAnsi="Arial" w:cs="Arial"/>
          <w:lang w:val="en-US"/>
        </w:rPr>
        <w:t>Schoot</w:t>
      </w:r>
      <w:proofErr w:type="spellEnd"/>
      <w:r>
        <w:rPr>
          <w:rFonts w:ascii="Arial" w:hAnsi="Arial" w:cs="Arial"/>
          <w:lang w:val="en-US"/>
        </w:rPr>
        <w:t xml:space="preserve"> (2014), pp. 1-2.</w:t>
      </w:r>
    </w:p>
  </w:footnote>
  <w:footnote w:id="7">
    <w:p w14:paraId="413B3796" w14:textId="77777777" w:rsidR="0025107E" w:rsidRPr="000C4A44" w:rsidRDefault="0025107E" w:rsidP="00D736FC">
      <w:pPr>
        <w:pStyle w:val="Textodenotaderodap"/>
        <w:jc w:val="both"/>
        <w:rPr>
          <w:rFonts w:ascii="Arial" w:hAnsi="Arial" w:cs="Arial"/>
          <w:lang w:val="en-US"/>
        </w:rPr>
      </w:pPr>
      <w:r w:rsidRPr="000C4A44">
        <w:rPr>
          <w:rStyle w:val="Refdenotaderodap"/>
          <w:rFonts w:ascii="Arial" w:hAnsi="Arial" w:cs="Arial"/>
        </w:rPr>
        <w:footnoteRef/>
      </w:r>
      <w:r w:rsidRPr="003C4201">
        <w:rPr>
          <w:rFonts w:ascii="Arial" w:hAnsi="Arial" w:cs="Arial"/>
        </w:rPr>
        <w:t xml:space="preserve"> </w:t>
      </w:r>
      <w:proofErr w:type="spellStart"/>
      <w:r w:rsidRPr="003C4201">
        <w:rPr>
          <w:rFonts w:ascii="Arial" w:hAnsi="Arial" w:cs="Arial"/>
        </w:rPr>
        <w:t>Hufbauer</w:t>
      </w:r>
      <w:proofErr w:type="spellEnd"/>
      <w:r w:rsidR="00A02405" w:rsidRPr="003C4201">
        <w:rPr>
          <w:rFonts w:ascii="Arial" w:hAnsi="Arial" w:cs="Arial"/>
        </w:rPr>
        <w:t>;</w:t>
      </w:r>
      <w:r w:rsidRPr="003C4201">
        <w:rPr>
          <w:rFonts w:ascii="Arial" w:hAnsi="Arial" w:cs="Arial"/>
        </w:rPr>
        <w:t xml:space="preserve"> </w:t>
      </w:r>
      <w:proofErr w:type="spellStart"/>
      <w:r w:rsidRPr="003C4201">
        <w:rPr>
          <w:rFonts w:ascii="Arial" w:hAnsi="Arial" w:cs="Arial"/>
        </w:rPr>
        <w:t>Schoot</w:t>
      </w:r>
      <w:proofErr w:type="spellEnd"/>
      <w:r w:rsidR="00A02405" w:rsidRPr="003C4201">
        <w:rPr>
          <w:rFonts w:ascii="Arial" w:hAnsi="Arial" w:cs="Arial"/>
        </w:rPr>
        <w:t>;</w:t>
      </w:r>
      <w:r w:rsidRPr="003C4201">
        <w:rPr>
          <w:rFonts w:ascii="Arial" w:hAnsi="Arial" w:cs="Arial"/>
        </w:rPr>
        <w:t xml:space="preserve"> </w:t>
      </w:r>
      <w:proofErr w:type="spellStart"/>
      <w:r w:rsidRPr="003C4201">
        <w:rPr>
          <w:rFonts w:ascii="Arial" w:hAnsi="Arial" w:cs="Arial"/>
        </w:rPr>
        <w:t>Cimino</w:t>
      </w:r>
      <w:proofErr w:type="spellEnd"/>
      <w:r w:rsidRPr="003C4201">
        <w:rPr>
          <w:rFonts w:ascii="Arial" w:hAnsi="Arial" w:cs="Arial"/>
        </w:rPr>
        <w:t xml:space="preserve">, </w:t>
      </w:r>
      <w:proofErr w:type="spellStart"/>
      <w:r w:rsidRPr="003C4201">
        <w:rPr>
          <w:rFonts w:ascii="Arial" w:hAnsi="Arial" w:cs="Arial"/>
        </w:rPr>
        <w:t>Vieiro</w:t>
      </w:r>
      <w:proofErr w:type="spellEnd"/>
      <w:r w:rsidR="00A02405" w:rsidRPr="003C4201">
        <w:rPr>
          <w:rFonts w:ascii="Arial" w:hAnsi="Arial" w:cs="Arial"/>
        </w:rPr>
        <w:t>;</w:t>
      </w:r>
      <w:r w:rsidRPr="003C4201">
        <w:rPr>
          <w:rFonts w:ascii="Arial" w:hAnsi="Arial" w:cs="Arial"/>
        </w:rPr>
        <w:t xml:space="preserve"> </w:t>
      </w:r>
      <w:proofErr w:type="spellStart"/>
      <w:r w:rsidRPr="003C4201">
        <w:rPr>
          <w:rFonts w:ascii="Arial" w:hAnsi="Arial" w:cs="Arial"/>
        </w:rPr>
        <w:t>Wada</w:t>
      </w:r>
      <w:proofErr w:type="spellEnd"/>
      <w:r w:rsidRPr="003C4201">
        <w:rPr>
          <w:rFonts w:ascii="Arial" w:hAnsi="Arial" w:cs="Arial"/>
        </w:rPr>
        <w:t xml:space="preserve"> (2013), p.3. </w:t>
      </w:r>
      <w:r w:rsidRPr="000C4A44">
        <w:rPr>
          <w:rFonts w:ascii="Arial" w:hAnsi="Arial" w:cs="Arial"/>
          <w:lang w:val="en-US"/>
        </w:rPr>
        <w:t>It is important to highlight that the authors made severe criticism on the use of LCRs, for which reason they refer to “impacts”. Pursuant to them, since 2008, such measures have reduced the global trade by the amount of US$ 464 billion, which accounted for 2% of global trade in 2010.</w:t>
      </w:r>
    </w:p>
  </w:footnote>
  <w:footnote w:id="8">
    <w:p w14:paraId="17D05DF2" w14:textId="77777777" w:rsidR="0025107E" w:rsidRPr="000C4A44" w:rsidRDefault="0025107E" w:rsidP="00B14465">
      <w:pPr>
        <w:pStyle w:val="Textodenotaderodap"/>
        <w:jc w:val="both"/>
        <w:rPr>
          <w:rFonts w:ascii="Arial" w:hAnsi="Arial" w:cs="Arial"/>
          <w:lang w:val="en-US"/>
        </w:rPr>
      </w:pPr>
      <w:r w:rsidRPr="000C4A44">
        <w:rPr>
          <w:rStyle w:val="Refdenotaderodap"/>
          <w:rFonts w:ascii="Arial" w:hAnsi="Arial" w:cs="Arial"/>
        </w:rPr>
        <w:footnoteRef/>
      </w:r>
      <w:r w:rsidR="00FA3C6F" w:rsidRPr="000C4A44">
        <w:rPr>
          <w:rFonts w:ascii="Arial" w:hAnsi="Arial" w:cs="Arial"/>
          <w:lang w:val="en-US"/>
        </w:rPr>
        <w:t xml:space="preserve"> See </w:t>
      </w:r>
      <w:proofErr w:type="spellStart"/>
      <w:r w:rsidR="00FA3C6F" w:rsidRPr="000C4A44">
        <w:rPr>
          <w:rFonts w:ascii="Arial" w:hAnsi="Arial" w:cs="Arial"/>
          <w:lang w:val="en-US"/>
        </w:rPr>
        <w:t>Mavroidis</w:t>
      </w:r>
      <w:proofErr w:type="spellEnd"/>
      <w:r w:rsidR="00FA3C6F" w:rsidRPr="000C4A44">
        <w:rPr>
          <w:rFonts w:ascii="Arial" w:hAnsi="Arial" w:cs="Arial"/>
          <w:lang w:val="en-US"/>
        </w:rPr>
        <w:t xml:space="preserve"> (2013), p. 308. </w:t>
      </w:r>
      <w:r w:rsidRPr="000C4A44">
        <w:rPr>
          <w:rFonts w:ascii="Arial" w:hAnsi="Arial" w:cs="Arial"/>
          <w:lang w:val="en-US"/>
        </w:rPr>
        <w:t>For the purposes of this paper, analysis shall be focused on Article III.4 of the GATT 1994.</w:t>
      </w:r>
    </w:p>
  </w:footnote>
  <w:footnote w:id="9">
    <w:p w14:paraId="2FB0C855" w14:textId="77777777" w:rsidR="0025107E" w:rsidRPr="000C4A44" w:rsidRDefault="0025107E" w:rsidP="00743351">
      <w:pPr>
        <w:pStyle w:val="Textodenotaderodap"/>
        <w:rPr>
          <w:rFonts w:ascii="Arial" w:hAnsi="Arial" w:cs="Arial"/>
          <w:lang w:val="en-US"/>
        </w:rPr>
      </w:pPr>
      <w:r w:rsidRPr="000C4A44">
        <w:rPr>
          <w:rStyle w:val="Refdenotaderodap"/>
          <w:rFonts w:ascii="Arial" w:hAnsi="Arial" w:cs="Arial"/>
        </w:rPr>
        <w:footnoteRef/>
      </w:r>
      <w:r w:rsidRPr="000C4A44">
        <w:rPr>
          <w:rFonts w:ascii="Arial" w:hAnsi="Arial" w:cs="Arial"/>
          <w:lang w:val="en-US"/>
        </w:rPr>
        <w:t xml:space="preserve"> </w:t>
      </w:r>
      <w:r w:rsidR="00A02405" w:rsidRPr="000C4A44">
        <w:rPr>
          <w:rFonts w:ascii="Arial" w:hAnsi="Arial" w:cs="Arial"/>
          <w:lang w:val="en-US"/>
        </w:rPr>
        <w:t xml:space="preserve">Van den </w:t>
      </w:r>
      <w:proofErr w:type="spellStart"/>
      <w:r w:rsidR="00A02405" w:rsidRPr="000C4A44">
        <w:rPr>
          <w:rFonts w:ascii="Arial" w:hAnsi="Arial" w:cs="Arial"/>
          <w:lang w:val="en-US"/>
        </w:rPr>
        <w:t>Bossche</w:t>
      </w:r>
      <w:proofErr w:type="spellEnd"/>
      <w:r w:rsidR="00A02405" w:rsidRPr="000C4A44">
        <w:rPr>
          <w:rFonts w:ascii="Arial" w:hAnsi="Arial" w:cs="Arial"/>
          <w:lang w:val="en-US"/>
        </w:rPr>
        <w:t xml:space="preserve">; </w:t>
      </w:r>
      <w:proofErr w:type="spellStart"/>
      <w:r w:rsidR="00A02405" w:rsidRPr="000C4A44">
        <w:rPr>
          <w:rFonts w:ascii="Arial" w:hAnsi="Arial" w:cs="Arial"/>
          <w:lang w:val="en-US"/>
        </w:rPr>
        <w:t>Zdouc</w:t>
      </w:r>
      <w:proofErr w:type="spellEnd"/>
      <w:r w:rsidR="00A02405" w:rsidRPr="000C4A44">
        <w:rPr>
          <w:rFonts w:ascii="Arial" w:hAnsi="Arial" w:cs="Arial"/>
          <w:lang w:val="en-US"/>
        </w:rPr>
        <w:t xml:space="preserve"> (2013), p. 352. </w:t>
      </w:r>
    </w:p>
  </w:footnote>
  <w:footnote w:id="10">
    <w:p w14:paraId="2C02404B" w14:textId="77777777" w:rsidR="0025107E" w:rsidRPr="000C4A44" w:rsidRDefault="0025107E" w:rsidP="00743351">
      <w:pPr>
        <w:pStyle w:val="Textodenotaderodap"/>
        <w:jc w:val="both"/>
        <w:rPr>
          <w:rFonts w:ascii="Arial" w:hAnsi="Arial" w:cs="Arial"/>
          <w:lang w:val="en-US"/>
        </w:rPr>
      </w:pPr>
      <w:r w:rsidRPr="000C4A44">
        <w:rPr>
          <w:rStyle w:val="Refdenotaderodap"/>
          <w:rFonts w:ascii="Arial" w:hAnsi="Arial" w:cs="Arial"/>
        </w:rPr>
        <w:footnoteRef/>
      </w:r>
      <w:r w:rsidR="00A11E82" w:rsidRPr="000C4A44">
        <w:rPr>
          <w:rFonts w:ascii="Arial" w:hAnsi="Arial" w:cs="Arial"/>
          <w:lang w:val="en-US"/>
        </w:rPr>
        <w:t xml:space="preserve">Jackson (2002), p. 214. </w:t>
      </w:r>
    </w:p>
  </w:footnote>
  <w:footnote w:id="11">
    <w:p w14:paraId="6D6947CC" w14:textId="77777777" w:rsidR="0025107E" w:rsidRPr="000C4A44" w:rsidRDefault="0025107E" w:rsidP="00831BD1">
      <w:pPr>
        <w:pStyle w:val="tocindent4"/>
        <w:shd w:val="clear" w:color="auto" w:fill="FFFFFF"/>
        <w:spacing w:before="0" w:beforeAutospacing="0" w:after="0" w:afterAutospacing="0"/>
        <w:jc w:val="both"/>
        <w:rPr>
          <w:rFonts w:ascii="Arial" w:hAnsi="Arial" w:cs="Arial"/>
          <w:lang w:val="en-US"/>
        </w:rPr>
      </w:pPr>
      <w:r w:rsidRPr="000C4A44">
        <w:rPr>
          <w:rStyle w:val="Refdenotaderodap"/>
          <w:rFonts w:ascii="Arial" w:hAnsi="Arial" w:cs="Arial"/>
          <w:sz w:val="20"/>
          <w:szCs w:val="20"/>
        </w:rPr>
        <w:footnoteRef/>
      </w:r>
      <w:r w:rsidRPr="000C4A44">
        <w:rPr>
          <w:rFonts w:ascii="Arial" w:hAnsi="Arial" w:cs="Arial"/>
          <w:sz w:val="20"/>
          <w:szCs w:val="20"/>
          <w:lang w:val="en-US"/>
        </w:rPr>
        <w:t xml:space="preserve"> Pursuant to Article III.</w:t>
      </w:r>
      <w:r w:rsidRPr="000C4A44">
        <w:rPr>
          <w:rFonts w:ascii="Arial" w:hAnsi="Arial" w:cs="Arial"/>
          <w:color w:val="000000"/>
          <w:sz w:val="20"/>
          <w:szCs w:val="20"/>
          <w:lang w:val="en-US"/>
        </w:rPr>
        <w:t>4 of GATT 1994, </w:t>
      </w:r>
      <w:r w:rsidR="0035763D">
        <w:rPr>
          <w:rFonts w:ascii="Arial" w:hAnsi="Arial" w:cs="Arial"/>
          <w:color w:val="000000"/>
          <w:sz w:val="20"/>
          <w:szCs w:val="20"/>
          <w:lang w:val="en-US"/>
        </w:rPr>
        <w:t>“</w:t>
      </w:r>
      <w:r w:rsidR="009C3CFA">
        <w:rPr>
          <w:rFonts w:ascii="Arial" w:hAnsi="Arial" w:cs="Arial"/>
          <w:color w:val="000000"/>
          <w:sz w:val="20"/>
          <w:szCs w:val="20"/>
          <w:lang w:val="en-US"/>
        </w:rPr>
        <w:t>[t</w:t>
      </w:r>
      <w:r w:rsidRPr="009C3CFA">
        <w:rPr>
          <w:rFonts w:ascii="Arial" w:hAnsi="Arial" w:cs="Arial"/>
          <w:color w:val="000000"/>
          <w:sz w:val="20"/>
          <w:szCs w:val="20"/>
          <w:lang w:val="en-US"/>
        </w:rPr>
        <w:t>he</w:t>
      </w:r>
      <w:r w:rsidR="009C3CFA">
        <w:rPr>
          <w:rFonts w:ascii="Arial" w:hAnsi="Arial" w:cs="Arial"/>
          <w:color w:val="000000"/>
          <w:sz w:val="20"/>
          <w:szCs w:val="20"/>
          <w:lang w:val="en-US"/>
        </w:rPr>
        <w:t>]</w:t>
      </w:r>
      <w:r w:rsidRPr="009C3CFA">
        <w:rPr>
          <w:rFonts w:ascii="Arial" w:hAnsi="Arial" w:cs="Arial"/>
          <w:color w:val="000000"/>
          <w:sz w:val="20"/>
          <w:szCs w:val="20"/>
          <w:lang w:val="en-US"/>
        </w:rPr>
        <w:t xml:space="preserve"> products of the territory of any contracting party imported into the territory of any other contracting party shall be accorded treatment no less </w:t>
      </w:r>
      <w:proofErr w:type="spellStart"/>
      <w:r w:rsidRPr="009C3CFA">
        <w:rPr>
          <w:rFonts w:ascii="Arial" w:hAnsi="Arial" w:cs="Arial"/>
          <w:color w:val="000000"/>
          <w:sz w:val="20"/>
          <w:szCs w:val="20"/>
          <w:lang w:val="en-US"/>
        </w:rPr>
        <w:t>favourable</w:t>
      </w:r>
      <w:proofErr w:type="spellEnd"/>
      <w:r w:rsidRPr="009C3CFA">
        <w:rPr>
          <w:rFonts w:ascii="Arial" w:hAnsi="Arial" w:cs="Arial"/>
          <w:color w:val="000000"/>
          <w:sz w:val="20"/>
          <w:szCs w:val="20"/>
          <w:lang w:val="en-US"/>
        </w:rPr>
        <w:t xml:space="preserve"> than that accorded to like products of national origin in respect of all laws, regulations and requirements affecting their</w:t>
      </w:r>
      <w:r w:rsidRPr="009C3CFA">
        <w:rPr>
          <w:rStyle w:val="apple-converted-space"/>
          <w:rFonts w:ascii="Arial" w:eastAsiaTheme="majorEastAsia" w:hAnsi="Arial" w:cs="Arial"/>
          <w:b/>
          <w:bCs/>
          <w:color w:val="000000"/>
          <w:sz w:val="20"/>
          <w:szCs w:val="20"/>
          <w:lang w:val="en-US"/>
        </w:rPr>
        <w:t> </w:t>
      </w:r>
      <w:r w:rsidRPr="009C3CFA">
        <w:rPr>
          <w:rFonts w:ascii="Arial" w:hAnsi="Arial" w:cs="Arial"/>
          <w:color w:val="000000"/>
          <w:sz w:val="20"/>
          <w:szCs w:val="20"/>
          <w:lang w:val="en-US"/>
        </w:rPr>
        <w:t>internal sale, offering for sale, purchase, transportation, distribution or use. The provisions of this paragraph shall not prevent the application of differential internal transportation charges which are based exclusively on the economic operation of the means of transport and not on the nationality of the product.</w:t>
      </w:r>
      <w:r w:rsidR="0035763D">
        <w:rPr>
          <w:rFonts w:ascii="Arial" w:hAnsi="Arial" w:cs="Arial"/>
          <w:color w:val="000000"/>
          <w:sz w:val="20"/>
          <w:szCs w:val="20"/>
          <w:lang w:val="en-US"/>
        </w:rPr>
        <w:t>”</w:t>
      </w:r>
    </w:p>
  </w:footnote>
  <w:footnote w:id="12">
    <w:p w14:paraId="7AF4530B" w14:textId="77777777" w:rsidR="0025107E" w:rsidRPr="00C82A7A" w:rsidRDefault="0025107E" w:rsidP="00831BD1">
      <w:pPr>
        <w:pStyle w:val="Textodenotaderodap"/>
        <w:jc w:val="both"/>
        <w:rPr>
          <w:rFonts w:ascii="Arial" w:hAnsi="Arial" w:cs="Arial"/>
          <w:lang w:val="en-US"/>
        </w:rPr>
      </w:pPr>
      <w:r w:rsidRPr="000C4A44">
        <w:rPr>
          <w:rStyle w:val="Refdenotaderodap"/>
          <w:rFonts w:ascii="Arial" w:hAnsi="Arial" w:cs="Arial"/>
        </w:rPr>
        <w:footnoteRef/>
      </w:r>
      <w:r w:rsidRPr="000C4A44">
        <w:rPr>
          <w:rFonts w:ascii="Arial" w:hAnsi="Arial" w:cs="Arial"/>
          <w:lang w:val="en-US"/>
        </w:rPr>
        <w:t xml:space="preserve"> In addition to its commercial nature, the LCRs constitute measures related to investments. The relation between trade and investment had already been made clear in 1984 in the </w:t>
      </w:r>
      <w:r w:rsidRPr="000C4A44">
        <w:rPr>
          <w:rFonts w:ascii="Arial" w:hAnsi="Arial" w:cs="Arial"/>
          <w:i/>
          <w:lang w:val="en-US"/>
        </w:rPr>
        <w:t xml:space="preserve">FIRA </w:t>
      </w:r>
      <w:r w:rsidRPr="000C4A44">
        <w:rPr>
          <w:rFonts w:ascii="Arial" w:hAnsi="Arial" w:cs="Arial"/>
          <w:lang w:val="en-US"/>
        </w:rPr>
        <w:t>case</w:t>
      </w:r>
      <w:r w:rsidR="00A04AE3">
        <w:rPr>
          <w:rFonts w:ascii="Arial" w:hAnsi="Arial" w:cs="Arial"/>
          <w:lang w:val="en-US"/>
        </w:rPr>
        <w:t>.</w:t>
      </w:r>
      <w:r w:rsidRPr="00FE56A9">
        <w:rPr>
          <w:rFonts w:ascii="Arial" w:hAnsi="Arial" w:cs="Arial"/>
          <w:lang w:val="en-US"/>
        </w:rPr>
        <w:t xml:space="preserve"> </w:t>
      </w:r>
      <w:r w:rsidRPr="000C4A44">
        <w:rPr>
          <w:rFonts w:ascii="Arial" w:hAnsi="Arial" w:cs="Arial"/>
          <w:lang w:val="en-US"/>
        </w:rPr>
        <w:t xml:space="preserve">The </w:t>
      </w:r>
      <w:r w:rsidRPr="000C4A44">
        <w:rPr>
          <w:rFonts w:ascii="Arial" w:hAnsi="Arial" w:cs="Arial"/>
          <w:i/>
          <w:lang w:val="en-US"/>
        </w:rPr>
        <w:t>FIRA</w:t>
      </w:r>
      <w:r w:rsidRPr="000C4A44">
        <w:rPr>
          <w:rFonts w:ascii="Arial" w:hAnsi="Arial" w:cs="Arial"/>
          <w:lang w:val="en-US"/>
        </w:rPr>
        <w:t xml:space="preserve"> confirmed that obligations existing under the GATT were applicable to requirements imposed by governments in an investment context to the extent that such requirements resulted in discrimination between domestic and imported products. According to the Panel</w:t>
      </w:r>
      <w:r w:rsidRPr="009C3CFA">
        <w:rPr>
          <w:rFonts w:ascii="Arial" w:hAnsi="Arial" w:cs="Arial"/>
          <w:lang w:val="en-US"/>
        </w:rPr>
        <w:t>:</w:t>
      </w:r>
      <w:r w:rsidR="002A6CB4">
        <w:rPr>
          <w:rFonts w:ascii="Arial" w:hAnsi="Arial" w:cs="Arial"/>
          <w:lang w:val="en-US"/>
        </w:rPr>
        <w:t xml:space="preserve"> “6.1</w:t>
      </w:r>
      <w:r w:rsidR="00837E72">
        <w:rPr>
          <w:rFonts w:ascii="Arial" w:hAnsi="Arial" w:cs="Arial"/>
          <w:lang w:val="en-US"/>
        </w:rPr>
        <w:t>… [</w:t>
      </w:r>
      <w:r w:rsidRPr="009C3CFA">
        <w:rPr>
          <w:rFonts w:ascii="Arial" w:hAnsi="Arial" w:cs="Arial"/>
          <w:lang w:val="en-US"/>
        </w:rPr>
        <w:t>the</w:t>
      </w:r>
      <w:r w:rsidR="00837E72">
        <w:rPr>
          <w:rFonts w:ascii="Arial" w:hAnsi="Arial" w:cs="Arial"/>
          <w:lang w:val="en-US"/>
        </w:rPr>
        <w:t>]</w:t>
      </w:r>
      <w:r w:rsidRPr="009C3CFA">
        <w:rPr>
          <w:rFonts w:ascii="Arial" w:hAnsi="Arial" w:cs="Arial"/>
          <w:lang w:val="en-US"/>
        </w:rPr>
        <w:t xml:space="preserve"> practice of Canada to allow certain investments subject to the Foreign Investment Review Act conditional upon written undertakings by the investors to purchase goods of Canadian origin, or goods from Canadian sources, is inconsistent with Article III:4 of the General Agreement according to which contracting parties shall accord to imported products treatment no less </w:t>
      </w:r>
      <w:proofErr w:type="spellStart"/>
      <w:r w:rsidRPr="009C3CFA">
        <w:rPr>
          <w:rFonts w:ascii="Arial" w:hAnsi="Arial" w:cs="Arial"/>
          <w:lang w:val="en-US"/>
        </w:rPr>
        <w:t>favourable</w:t>
      </w:r>
      <w:proofErr w:type="spellEnd"/>
      <w:r w:rsidRPr="009C3CFA">
        <w:rPr>
          <w:rFonts w:ascii="Arial" w:hAnsi="Arial" w:cs="Arial"/>
          <w:lang w:val="en-US"/>
        </w:rPr>
        <w:t xml:space="preserve"> than that accorded to like products of national origin in respect</w:t>
      </w:r>
      <w:r w:rsidRPr="009C3CFA">
        <w:rPr>
          <w:rFonts w:ascii="Times New Roman" w:hAnsi="Times New Roman" w:cs="Times New Roman"/>
          <w:lang w:val="en-US"/>
        </w:rPr>
        <w:t xml:space="preserve"> of </w:t>
      </w:r>
      <w:r w:rsidRPr="009C3CFA">
        <w:rPr>
          <w:rFonts w:ascii="Arial" w:hAnsi="Arial" w:cs="Arial"/>
          <w:lang w:val="en-US"/>
        </w:rPr>
        <w:t>all internal requirements affecting their purchase.</w:t>
      </w:r>
      <w:r w:rsidR="009C3CFA" w:rsidRPr="009C3CFA">
        <w:rPr>
          <w:rFonts w:ascii="Arial" w:hAnsi="Arial" w:cs="Arial"/>
          <w:lang w:val="en-US"/>
        </w:rPr>
        <w:t>”</w:t>
      </w:r>
      <w:r w:rsidRPr="00C82A7A">
        <w:rPr>
          <w:rFonts w:ascii="Arial" w:hAnsi="Arial" w:cs="Arial"/>
          <w:i/>
          <w:lang w:val="en-US"/>
        </w:rPr>
        <w:t xml:space="preserve"> Canada - Administration of the Foreign Investment Review Act, </w:t>
      </w:r>
      <w:r w:rsidRPr="00C82A7A">
        <w:rPr>
          <w:rFonts w:ascii="Arial" w:hAnsi="Arial" w:cs="Arial"/>
          <w:lang w:val="en-US"/>
        </w:rPr>
        <w:t>L/5504 - 30S/140, Panel Report</w:t>
      </w:r>
      <w:r w:rsidR="00A655D7">
        <w:rPr>
          <w:rFonts w:ascii="Arial" w:hAnsi="Arial" w:cs="Arial"/>
          <w:lang w:val="en-US"/>
        </w:rPr>
        <w:t xml:space="preserve"> adopted on </w:t>
      </w:r>
      <w:r w:rsidR="0035763D">
        <w:rPr>
          <w:rFonts w:ascii="Arial" w:hAnsi="Arial" w:cs="Arial"/>
          <w:lang w:val="en-US"/>
        </w:rPr>
        <w:t>February</w:t>
      </w:r>
      <w:r w:rsidR="005A0E45">
        <w:rPr>
          <w:rFonts w:ascii="Arial" w:hAnsi="Arial" w:cs="Arial"/>
          <w:lang w:val="en-US"/>
        </w:rPr>
        <w:t xml:space="preserve"> 7</w:t>
      </w:r>
      <w:r w:rsidR="0035763D">
        <w:rPr>
          <w:rFonts w:ascii="Arial" w:hAnsi="Arial" w:cs="Arial"/>
          <w:lang w:val="en-US"/>
        </w:rPr>
        <w:t>,</w:t>
      </w:r>
      <w:r w:rsidR="00A655D7">
        <w:rPr>
          <w:rFonts w:ascii="Arial" w:hAnsi="Arial" w:cs="Arial"/>
          <w:lang w:val="en-US"/>
        </w:rPr>
        <w:t xml:space="preserve"> 1984</w:t>
      </w:r>
      <w:r w:rsidR="00837E72">
        <w:rPr>
          <w:rFonts w:ascii="Arial" w:hAnsi="Arial" w:cs="Arial"/>
          <w:lang w:val="en-US"/>
        </w:rPr>
        <w:t>.</w:t>
      </w:r>
    </w:p>
  </w:footnote>
  <w:footnote w:id="13">
    <w:p w14:paraId="0A22C99B" w14:textId="77777777" w:rsidR="0025107E" w:rsidRPr="00C82A7A" w:rsidRDefault="0025107E" w:rsidP="00402EBB">
      <w:pPr>
        <w:pStyle w:val="Textodenotaderodap"/>
        <w:jc w:val="both"/>
        <w:rPr>
          <w:rFonts w:ascii="Arial" w:hAnsi="Arial" w:cs="Arial"/>
          <w:lang w:val="en-US"/>
        </w:rPr>
      </w:pPr>
      <w:r w:rsidRPr="00C82A7A">
        <w:rPr>
          <w:rStyle w:val="Refdenotaderodap"/>
          <w:rFonts w:ascii="Arial" w:hAnsi="Arial" w:cs="Arial"/>
        </w:rPr>
        <w:footnoteRef/>
      </w:r>
      <w:r w:rsidRPr="00C82A7A">
        <w:rPr>
          <w:rFonts w:ascii="Arial" w:hAnsi="Arial" w:cs="Arial"/>
          <w:lang w:val="en-US"/>
        </w:rPr>
        <w:t xml:space="preserve"> </w:t>
      </w:r>
      <w:proofErr w:type="spellStart"/>
      <w:r w:rsidR="000C4A44" w:rsidRPr="00C82A7A">
        <w:rPr>
          <w:rFonts w:ascii="Arial" w:hAnsi="Arial" w:cs="Arial"/>
          <w:lang w:val="en-US"/>
        </w:rPr>
        <w:t>Hestermeyer</w:t>
      </w:r>
      <w:proofErr w:type="spellEnd"/>
      <w:r w:rsidR="000C4A44" w:rsidRPr="00C82A7A">
        <w:rPr>
          <w:rFonts w:ascii="Arial" w:hAnsi="Arial" w:cs="Arial"/>
          <w:lang w:val="en-US"/>
        </w:rPr>
        <w:t xml:space="preserve">; Nielsen (2014), pp. 567-568. </w:t>
      </w:r>
    </w:p>
  </w:footnote>
  <w:footnote w:id="14">
    <w:p w14:paraId="739CF57B" w14:textId="77777777" w:rsidR="0025107E" w:rsidRPr="00837E72" w:rsidRDefault="0025107E" w:rsidP="002A0116">
      <w:pPr>
        <w:pStyle w:val="Textodenotaderodap"/>
        <w:jc w:val="both"/>
        <w:rPr>
          <w:rFonts w:ascii="Arial" w:hAnsi="Arial" w:cs="Arial"/>
          <w:lang w:val="en-GB"/>
        </w:rPr>
      </w:pPr>
      <w:r w:rsidRPr="00C82A7A">
        <w:rPr>
          <w:rStyle w:val="Refdenotaderodap"/>
          <w:rFonts w:ascii="Arial" w:hAnsi="Arial" w:cs="Arial"/>
        </w:rPr>
        <w:footnoteRef/>
      </w:r>
      <w:r w:rsidRPr="00C82A7A">
        <w:rPr>
          <w:rFonts w:ascii="Arial" w:hAnsi="Arial" w:cs="Arial"/>
          <w:lang w:val="en-US"/>
        </w:rPr>
        <w:t xml:space="preserve"> In </w:t>
      </w:r>
      <w:r w:rsidRPr="00C82A7A">
        <w:rPr>
          <w:rFonts w:ascii="Arial" w:hAnsi="Arial" w:cs="Arial"/>
          <w:i/>
          <w:lang w:val="en-US"/>
        </w:rPr>
        <w:t>Canada – Certain Measures Affecting the Renewable Energy Generation Sector</w:t>
      </w:r>
      <w:r w:rsidR="002A6CB4">
        <w:rPr>
          <w:rFonts w:ascii="Arial" w:hAnsi="Arial" w:cs="Arial"/>
          <w:lang w:val="en-US"/>
        </w:rPr>
        <w:t xml:space="preserve"> and </w:t>
      </w:r>
      <w:r w:rsidR="002A6CB4">
        <w:rPr>
          <w:rFonts w:ascii="Arial" w:hAnsi="Arial" w:cs="Arial"/>
          <w:i/>
          <w:lang w:val="en-US"/>
        </w:rPr>
        <w:t xml:space="preserve">Canada Measures Relating to the Feed-In Tariff </w:t>
      </w:r>
      <w:proofErr w:type="spellStart"/>
      <w:r w:rsidR="002A6CB4">
        <w:rPr>
          <w:rFonts w:ascii="Arial" w:hAnsi="Arial" w:cs="Arial"/>
          <w:i/>
          <w:lang w:val="en-US"/>
        </w:rPr>
        <w:t>Programme</w:t>
      </w:r>
      <w:proofErr w:type="spellEnd"/>
      <w:r w:rsidR="002A6CB4">
        <w:rPr>
          <w:rFonts w:ascii="Arial" w:hAnsi="Arial" w:cs="Arial"/>
          <w:i/>
          <w:lang w:val="en-US"/>
        </w:rPr>
        <w:t xml:space="preserve">, </w:t>
      </w:r>
      <w:r w:rsidRPr="00C82A7A">
        <w:rPr>
          <w:rFonts w:ascii="Arial" w:hAnsi="Arial" w:cs="Arial"/>
          <w:lang w:val="en-US"/>
        </w:rPr>
        <w:t>the AB has clearly stated its understanding on this matter: “</w:t>
      </w:r>
      <w:r w:rsidR="00837E72">
        <w:rPr>
          <w:rFonts w:ascii="Arial" w:hAnsi="Arial" w:cs="Arial"/>
          <w:lang w:val="en-US"/>
        </w:rPr>
        <w:t xml:space="preserve">5.56 </w:t>
      </w:r>
      <w:r w:rsidRPr="009C3CFA">
        <w:rPr>
          <w:rFonts w:ascii="Arial" w:hAnsi="Arial" w:cs="Arial"/>
          <w:lang w:val="en-US"/>
        </w:rPr>
        <w:t>Article III: 8 (a) therefore establishes a derogation from the national treatment obligation of Article III for government procurement activities falling within its scope. Measures satisfying the requirements of Article III: 8 (a) are not subject to the national treatment obligations set out in other paragraphs of Article III. Article III: 8 (a) is a derogation limiting the scope of the national treatment obligation and it is not a justification for measures that would otherwise be inconsistent with that obligation</w:t>
      </w:r>
      <w:r w:rsidRPr="00C82A7A">
        <w:rPr>
          <w:rFonts w:ascii="Arial" w:hAnsi="Arial" w:cs="Arial"/>
          <w:lang w:val="en-US"/>
        </w:rPr>
        <w:t xml:space="preserve">”. </w:t>
      </w:r>
      <w:r w:rsidR="0035763D">
        <w:rPr>
          <w:rFonts w:ascii="Arial" w:hAnsi="Arial" w:cs="Arial"/>
          <w:lang w:val="en-US"/>
        </w:rPr>
        <w:t>(</w:t>
      </w:r>
      <w:r w:rsidRPr="00837E72">
        <w:rPr>
          <w:rFonts w:ascii="Arial" w:hAnsi="Arial" w:cs="Arial"/>
          <w:lang w:val="en-GB"/>
        </w:rPr>
        <w:t>WT/DS412/AB/R, DS426/AB/R,</w:t>
      </w:r>
      <w:r w:rsidR="00837E72" w:rsidRPr="00837E72">
        <w:rPr>
          <w:rFonts w:ascii="Arial" w:hAnsi="Arial" w:cs="Arial"/>
          <w:lang w:val="en-GB"/>
        </w:rPr>
        <w:t xml:space="preserve"> circulated on </w:t>
      </w:r>
      <w:r w:rsidR="0035763D" w:rsidRPr="00837E72">
        <w:rPr>
          <w:rFonts w:ascii="Arial" w:hAnsi="Arial" w:cs="Arial"/>
          <w:lang w:val="en-GB"/>
        </w:rPr>
        <w:t>May</w:t>
      </w:r>
      <w:r w:rsidR="005A0E45">
        <w:rPr>
          <w:rFonts w:ascii="Arial" w:hAnsi="Arial" w:cs="Arial"/>
          <w:lang w:val="en-GB"/>
        </w:rPr>
        <w:t xml:space="preserve"> 6</w:t>
      </w:r>
      <w:r w:rsidR="0035763D">
        <w:rPr>
          <w:rFonts w:ascii="Arial" w:hAnsi="Arial" w:cs="Arial"/>
          <w:lang w:val="en-GB"/>
        </w:rPr>
        <w:t>,</w:t>
      </w:r>
      <w:r w:rsidR="00837E72" w:rsidRPr="00837E72">
        <w:rPr>
          <w:rFonts w:ascii="Arial" w:hAnsi="Arial" w:cs="Arial"/>
          <w:lang w:val="en-GB"/>
        </w:rPr>
        <w:t xml:space="preserve"> 2013</w:t>
      </w:r>
      <w:r w:rsidR="0035763D">
        <w:rPr>
          <w:rFonts w:ascii="Arial" w:hAnsi="Arial" w:cs="Arial"/>
          <w:lang w:val="en-GB"/>
        </w:rPr>
        <w:t>)</w:t>
      </w:r>
      <w:r w:rsidR="00837E72">
        <w:rPr>
          <w:rFonts w:ascii="Arial" w:hAnsi="Arial" w:cs="Arial"/>
          <w:lang w:val="en-GB"/>
        </w:rPr>
        <w:t>.</w:t>
      </w:r>
      <w:r w:rsidRPr="00837E72">
        <w:rPr>
          <w:rFonts w:ascii="Arial" w:hAnsi="Arial" w:cs="Arial"/>
          <w:lang w:val="en-GB"/>
        </w:rPr>
        <w:t xml:space="preserve"> </w:t>
      </w:r>
    </w:p>
  </w:footnote>
  <w:footnote w:id="15">
    <w:p w14:paraId="67825609" w14:textId="77777777" w:rsidR="0025107E" w:rsidRPr="00C82A7A" w:rsidRDefault="0025107E" w:rsidP="00E4353D">
      <w:pPr>
        <w:spacing w:line="240" w:lineRule="auto"/>
        <w:jc w:val="both"/>
        <w:rPr>
          <w:rFonts w:ascii="Arial" w:hAnsi="Arial" w:cs="Arial"/>
          <w:sz w:val="20"/>
          <w:szCs w:val="20"/>
          <w:lang w:val="en-US"/>
        </w:rPr>
      </w:pPr>
      <w:r w:rsidRPr="00C82A7A">
        <w:rPr>
          <w:rStyle w:val="Refdenotaderodap"/>
          <w:rFonts w:ascii="Arial" w:hAnsi="Arial" w:cs="Arial"/>
          <w:sz w:val="20"/>
          <w:szCs w:val="20"/>
        </w:rPr>
        <w:footnoteRef/>
      </w:r>
      <w:r w:rsidRPr="00C82A7A">
        <w:rPr>
          <w:rFonts w:ascii="Arial" w:hAnsi="Arial" w:cs="Arial"/>
          <w:sz w:val="20"/>
          <w:szCs w:val="20"/>
          <w:lang w:val="en-US"/>
        </w:rPr>
        <w:t xml:space="preserve"> </w:t>
      </w:r>
      <w:r w:rsidRPr="0035763D">
        <w:rPr>
          <w:rFonts w:ascii="Arial" w:hAnsi="Arial" w:cs="Arial"/>
          <w:sz w:val="20"/>
          <w:szCs w:val="20"/>
          <w:lang w:val="en-US"/>
        </w:rPr>
        <w:t>“</w:t>
      </w:r>
      <w:r w:rsidRPr="0035763D">
        <w:rPr>
          <w:rFonts w:ascii="Arial" w:hAnsi="Arial" w:cs="Arial"/>
          <w:b/>
          <w:sz w:val="20"/>
          <w:szCs w:val="20"/>
          <w:lang w:val="en-US"/>
        </w:rPr>
        <w:t xml:space="preserve">Article 2 National Treatment and Quantitative Restrictions </w:t>
      </w:r>
      <w:r w:rsidRPr="0035763D">
        <w:rPr>
          <w:rFonts w:ascii="Arial" w:hAnsi="Arial" w:cs="Arial"/>
          <w:sz w:val="20"/>
          <w:szCs w:val="20"/>
          <w:lang w:val="en-US"/>
        </w:rPr>
        <w:t xml:space="preserve">1. Without prejudice to other rights and obligations under GATT 1994, no Member shall apply any TRIM that is inconsistent with the provisions of Article III or Article XI of GATT 1994. 2. An illustrative list of TRIMs that are inconsistent with the obligation of national treatment provided for in paragraph 4 of Article III of GATT 1994 and the obligation of general elimination of quantitative restrictions provided for in paragraph 1 of Article XI of GATT 1994 is contained in the Annex to this Agreement. </w:t>
      </w:r>
      <w:r w:rsidRPr="0035763D">
        <w:rPr>
          <w:rFonts w:ascii="Arial" w:hAnsi="Arial" w:cs="Arial"/>
          <w:b/>
          <w:sz w:val="20"/>
          <w:szCs w:val="20"/>
          <w:lang w:val="en-US"/>
        </w:rPr>
        <w:t xml:space="preserve">ANNEX Illustrative List </w:t>
      </w:r>
      <w:r w:rsidRPr="0035763D">
        <w:rPr>
          <w:rFonts w:ascii="Arial" w:hAnsi="Arial" w:cs="Arial"/>
          <w:sz w:val="20"/>
          <w:szCs w:val="20"/>
          <w:lang w:val="en-US"/>
        </w:rPr>
        <w:t>1. TRIMs that are inconsistent with the obligation of national treatment provided for in paragraph 4 of Article III of GATT 1994 include those which are mandatory or enforceable under domestic law or under administrative rulings, or compliance with which is necessary to obtain an advantage, and which require: (a) the purchase or use by an enterprise of products of domestic origin or from any domestic source, whether specified in terms of particular products,</w:t>
      </w:r>
      <w:r w:rsidRPr="00C82A7A">
        <w:rPr>
          <w:rFonts w:ascii="Arial" w:hAnsi="Arial" w:cs="Arial"/>
          <w:i/>
          <w:sz w:val="20"/>
          <w:szCs w:val="20"/>
          <w:lang w:val="en-US"/>
        </w:rPr>
        <w:t xml:space="preserve"> </w:t>
      </w:r>
      <w:r w:rsidRPr="0035763D">
        <w:rPr>
          <w:rFonts w:ascii="Arial" w:hAnsi="Arial" w:cs="Arial"/>
          <w:sz w:val="20"/>
          <w:szCs w:val="20"/>
          <w:lang w:val="en-US"/>
        </w:rPr>
        <w:t>in terms of volume or value of products, or in terms of a proportion of volume or value of its local production;…”</w:t>
      </w:r>
      <w:r w:rsidRPr="00C82A7A">
        <w:rPr>
          <w:rFonts w:ascii="Arial" w:hAnsi="Arial" w:cs="Arial"/>
          <w:sz w:val="20"/>
          <w:szCs w:val="20"/>
          <w:lang w:val="en-US"/>
        </w:rPr>
        <w:t xml:space="preserve"> </w:t>
      </w:r>
    </w:p>
  </w:footnote>
  <w:footnote w:id="16">
    <w:p w14:paraId="0E2B75E8" w14:textId="77777777" w:rsidR="0025107E" w:rsidRPr="00A31A4F" w:rsidRDefault="0025107E" w:rsidP="00A15374">
      <w:pPr>
        <w:pStyle w:val="Ttulo1"/>
        <w:spacing w:before="0" w:line="240" w:lineRule="auto"/>
        <w:jc w:val="both"/>
        <w:rPr>
          <w:rFonts w:ascii="Arial" w:hAnsi="Arial" w:cs="Arial"/>
          <w:lang w:val="en-US"/>
        </w:rPr>
      </w:pPr>
      <w:r w:rsidRPr="00A31A4F">
        <w:rPr>
          <w:rStyle w:val="Refdenotaderodap"/>
          <w:rFonts w:ascii="Arial" w:hAnsi="Arial" w:cs="Arial"/>
          <w:b w:val="0"/>
          <w:color w:val="auto"/>
          <w:sz w:val="20"/>
          <w:szCs w:val="20"/>
        </w:rPr>
        <w:footnoteRef/>
      </w:r>
      <w:r w:rsidRPr="00A31A4F">
        <w:rPr>
          <w:rFonts w:ascii="Arial" w:hAnsi="Arial" w:cs="Arial"/>
          <w:b w:val="0"/>
          <w:color w:val="auto"/>
          <w:lang w:val="en-US"/>
        </w:rPr>
        <w:t xml:space="preserve"> </w:t>
      </w:r>
      <w:r w:rsidRPr="00A31A4F">
        <w:rPr>
          <w:rFonts w:ascii="Arial" w:hAnsi="Arial" w:cs="Arial"/>
          <w:b w:val="0"/>
          <w:i/>
          <w:color w:val="auto"/>
          <w:sz w:val="20"/>
          <w:szCs w:val="20"/>
          <w:lang w:val="en-US"/>
        </w:rPr>
        <w:t>Indonesia – Certain Measures Affecting the Automobile Industry (Indonesia Autos)</w:t>
      </w:r>
      <w:r w:rsidRPr="00A31A4F">
        <w:rPr>
          <w:rFonts w:ascii="Arial" w:hAnsi="Arial" w:cs="Arial"/>
          <w:b w:val="0"/>
          <w:color w:val="auto"/>
          <w:sz w:val="20"/>
          <w:szCs w:val="20"/>
          <w:lang w:val="en-US"/>
        </w:rPr>
        <w:t>,</w:t>
      </w:r>
      <w:r w:rsidRPr="00A31A4F">
        <w:rPr>
          <w:rFonts w:ascii="Arial" w:hAnsi="Arial" w:cs="Arial"/>
          <w:color w:val="auto"/>
          <w:sz w:val="24"/>
          <w:szCs w:val="24"/>
          <w:lang w:val="en-US"/>
        </w:rPr>
        <w:t xml:space="preserve"> </w:t>
      </w:r>
      <w:r w:rsidRPr="00A31A4F">
        <w:rPr>
          <w:rFonts w:ascii="Arial" w:hAnsi="Arial" w:cs="Arial"/>
          <w:b w:val="0"/>
          <w:color w:val="auto"/>
          <w:sz w:val="20"/>
          <w:szCs w:val="20"/>
          <w:lang w:val="en-US"/>
        </w:rPr>
        <w:t>DS54, DS55, DS59, DS64, report of the Panel adopted on July 23, 1998.</w:t>
      </w:r>
    </w:p>
  </w:footnote>
  <w:footnote w:id="17">
    <w:p w14:paraId="34570891" w14:textId="77777777" w:rsidR="0025107E" w:rsidRPr="00A31A4F" w:rsidRDefault="0025107E" w:rsidP="00022588">
      <w:pPr>
        <w:pStyle w:val="Ttulo1"/>
        <w:spacing w:before="0" w:line="240" w:lineRule="auto"/>
        <w:jc w:val="both"/>
        <w:rPr>
          <w:rFonts w:ascii="Arial" w:hAnsi="Arial" w:cs="Arial"/>
          <w:lang w:val="en-US"/>
        </w:rPr>
      </w:pPr>
      <w:r w:rsidRPr="00A31A4F">
        <w:rPr>
          <w:rStyle w:val="Refdenotaderodap"/>
          <w:rFonts w:ascii="Arial" w:hAnsi="Arial" w:cs="Arial"/>
          <w:color w:val="auto"/>
          <w:sz w:val="20"/>
          <w:szCs w:val="20"/>
        </w:rPr>
        <w:footnoteRef/>
      </w:r>
      <w:r w:rsidRPr="00A31A4F">
        <w:rPr>
          <w:rFonts w:ascii="Arial" w:hAnsi="Arial" w:cs="Arial"/>
          <w:color w:val="auto"/>
          <w:sz w:val="20"/>
          <w:szCs w:val="20"/>
          <w:lang w:val="en-US"/>
        </w:rPr>
        <w:t xml:space="preserve"> </w:t>
      </w:r>
      <w:r w:rsidRPr="00A31A4F">
        <w:rPr>
          <w:rFonts w:ascii="Arial" w:hAnsi="Arial" w:cs="Arial"/>
          <w:b w:val="0"/>
          <w:i/>
          <w:color w:val="auto"/>
          <w:sz w:val="20"/>
          <w:szCs w:val="20"/>
          <w:lang w:val="en-US"/>
        </w:rPr>
        <w:t>Canada – Certain Measures Affecting the Automotive Industry (Canada – Autos)</w:t>
      </w:r>
      <w:r w:rsidRPr="00A31A4F">
        <w:rPr>
          <w:rFonts w:ascii="Arial" w:hAnsi="Arial" w:cs="Arial"/>
          <w:b w:val="0"/>
          <w:color w:val="auto"/>
          <w:sz w:val="20"/>
          <w:szCs w:val="20"/>
          <w:lang w:val="en-US"/>
        </w:rPr>
        <w:t>, DS139, DS124, AB Report adopted on June 19, 2000.</w:t>
      </w:r>
    </w:p>
  </w:footnote>
  <w:footnote w:id="18">
    <w:p w14:paraId="09F080DD" w14:textId="77777777" w:rsidR="0025107E" w:rsidRPr="00A31A4F" w:rsidRDefault="0025107E" w:rsidP="00022588">
      <w:pPr>
        <w:pStyle w:val="Textodenotaderodap"/>
        <w:jc w:val="both"/>
        <w:rPr>
          <w:rFonts w:ascii="Arial" w:hAnsi="Arial" w:cs="Arial"/>
          <w:lang w:val="en-US"/>
        </w:rPr>
      </w:pPr>
      <w:r w:rsidRPr="00A31A4F">
        <w:rPr>
          <w:rStyle w:val="Refdenotaderodap"/>
          <w:rFonts w:ascii="Arial" w:hAnsi="Arial" w:cs="Arial"/>
        </w:rPr>
        <w:footnoteRef/>
      </w:r>
      <w:r w:rsidRPr="00A31A4F">
        <w:rPr>
          <w:rFonts w:ascii="Arial" w:hAnsi="Arial" w:cs="Arial"/>
          <w:lang w:val="en-US"/>
        </w:rPr>
        <w:t xml:space="preserve"> </w:t>
      </w:r>
      <w:r w:rsidRPr="00A31A4F">
        <w:rPr>
          <w:rFonts w:ascii="Arial" w:hAnsi="Arial" w:cs="Arial"/>
          <w:i/>
          <w:lang w:val="en-US"/>
        </w:rPr>
        <w:t>India – Measures Affecting the Automotive Sector</w:t>
      </w:r>
      <w:r w:rsidRPr="00A31A4F">
        <w:rPr>
          <w:rFonts w:ascii="Arial" w:hAnsi="Arial" w:cs="Arial"/>
          <w:lang w:val="en-US"/>
        </w:rPr>
        <w:t xml:space="preserve"> and </w:t>
      </w:r>
      <w:r w:rsidRPr="00A31A4F">
        <w:rPr>
          <w:rFonts w:ascii="Arial" w:hAnsi="Arial" w:cs="Arial"/>
          <w:i/>
          <w:lang w:val="en-US"/>
        </w:rPr>
        <w:t>India – Measures Affecting Trade and Investment in the Motor Vehicle Sector</w:t>
      </w:r>
      <w:r w:rsidRPr="00A31A4F">
        <w:rPr>
          <w:rFonts w:ascii="Arial" w:hAnsi="Arial" w:cs="Arial"/>
          <w:lang w:val="en-US"/>
        </w:rPr>
        <w:t>, DS146, DS175, Panels Reports adopted on April 5, 2002.</w:t>
      </w:r>
    </w:p>
  </w:footnote>
  <w:footnote w:id="19">
    <w:p w14:paraId="6A8C5E1F" w14:textId="77777777" w:rsidR="0025107E" w:rsidRPr="00A31A4F" w:rsidRDefault="0025107E">
      <w:pPr>
        <w:pStyle w:val="Textodenotaderodap"/>
        <w:rPr>
          <w:rFonts w:ascii="Arial" w:hAnsi="Arial" w:cs="Arial"/>
          <w:lang w:val="en-US"/>
        </w:rPr>
      </w:pPr>
      <w:r w:rsidRPr="00A31A4F">
        <w:rPr>
          <w:rStyle w:val="Refdenotaderodap"/>
          <w:rFonts w:ascii="Arial" w:hAnsi="Arial" w:cs="Arial"/>
        </w:rPr>
        <w:footnoteRef/>
      </w:r>
      <w:r w:rsidRPr="00A31A4F">
        <w:rPr>
          <w:rFonts w:ascii="Arial" w:hAnsi="Arial" w:cs="Arial"/>
          <w:lang w:val="en-US"/>
        </w:rPr>
        <w:t xml:space="preserve"> </w:t>
      </w:r>
      <w:r w:rsidRPr="00A31A4F">
        <w:rPr>
          <w:rFonts w:ascii="Arial" w:hAnsi="Arial" w:cs="Arial"/>
          <w:i/>
          <w:lang w:val="en-US"/>
        </w:rPr>
        <w:t>China – Measures Affecting Imports of Automobile Parts, DS339, DS340, DS342</w:t>
      </w:r>
      <w:r w:rsidRPr="00A31A4F">
        <w:rPr>
          <w:rFonts w:ascii="Arial" w:hAnsi="Arial" w:cs="Arial"/>
          <w:lang w:val="en-US"/>
        </w:rPr>
        <w:t>, Panel and AB reports adopted on January</w:t>
      </w:r>
      <w:r w:rsidR="0087237A">
        <w:rPr>
          <w:rFonts w:ascii="Arial" w:hAnsi="Arial" w:cs="Arial"/>
          <w:lang w:val="en-US"/>
        </w:rPr>
        <w:t xml:space="preserve"> </w:t>
      </w:r>
      <w:r w:rsidRPr="00A31A4F">
        <w:rPr>
          <w:rFonts w:ascii="Arial" w:hAnsi="Arial" w:cs="Arial"/>
          <w:lang w:val="en-US"/>
        </w:rPr>
        <w:t>12, 2009.</w:t>
      </w:r>
    </w:p>
  </w:footnote>
  <w:footnote w:id="20">
    <w:p w14:paraId="2603C22D" w14:textId="77777777" w:rsidR="0025107E" w:rsidRPr="00C97BBF" w:rsidRDefault="0025107E" w:rsidP="00773CD0">
      <w:pPr>
        <w:pStyle w:val="Textodenotaderodap"/>
        <w:jc w:val="both"/>
        <w:rPr>
          <w:rFonts w:ascii="Arial" w:hAnsi="Arial" w:cs="Arial"/>
          <w:lang w:val="en-US"/>
        </w:rPr>
      </w:pPr>
      <w:r w:rsidRPr="00C97BBF">
        <w:rPr>
          <w:rStyle w:val="Refdenotaderodap"/>
          <w:rFonts w:ascii="Arial" w:hAnsi="Arial" w:cs="Arial"/>
        </w:rPr>
        <w:footnoteRef/>
      </w:r>
      <w:r w:rsidRPr="00C97BBF">
        <w:rPr>
          <w:rFonts w:ascii="Arial" w:hAnsi="Arial" w:cs="Arial"/>
          <w:lang w:val="en-US"/>
        </w:rPr>
        <w:t xml:space="preserve"> </w:t>
      </w:r>
      <w:r w:rsidRPr="00C97BBF">
        <w:rPr>
          <w:rFonts w:ascii="Arial" w:hAnsi="Arial" w:cs="Arial"/>
          <w:i/>
          <w:lang w:val="en-US"/>
        </w:rPr>
        <w:t>Canada – Certain Measures Affecting the Renewable Energy Generation Sector</w:t>
      </w:r>
      <w:r w:rsidRPr="00C97BBF">
        <w:rPr>
          <w:rFonts w:ascii="Arial" w:hAnsi="Arial" w:cs="Arial"/>
          <w:lang w:val="en-US"/>
        </w:rPr>
        <w:t xml:space="preserve"> and </w:t>
      </w:r>
      <w:r w:rsidRPr="00C97BBF">
        <w:rPr>
          <w:rFonts w:ascii="Arial" w:hAnsi="Arial" w:cs="Arial"/>
          <w:i/>
          <w:lang w:val="en-US"/>
        </w:rPr>
        <w:t xml:space="preserve">Canada – Measures Relating to the Feed-In Tariff </w:t>
      </w:r>
      <w:bookmarkStart w:id="2" w:name="_Hlk506657540"/>
      <w:proofErr w:type="spellStart"/>
      <w:r w:rsidRPr="00C97BBF">
        <w:rPr>
          <w:rFonts w:ascii="Arial" w:hAnsi="Arial" w:cs="Arial"/>
          <w:i/>
          <w:lang w:val="en-US"/>
        </w:rPr>
        <w:t>Program</w:t>
      </w:r>
      <w:r w:rsidR="004A4845">
        <w:rPr>
          <w:rFonts w:ascii="Arial" w:hAnsi="Arial" w:cs="Arial"/>
          <w:i/>
          <w:lang w:val="en-US"/>
        </w:rPr>
        <w:t>me</w:t>
      </w:r>
      <w:proofErr w:type="spellEnd"/>
      <w:r w:rsidRPr="00C97BBF">
        <w:rPr>
          <w:rFonts w:ascii="Arial" w:hAnsi="Arial" w:cs="Arial"/>
          <w:i/>
          <w:lang w:val="en-US"/>
        </w:rPr>
        <w:t xml:space="preserve"> (Canada – Feed-In Tariff </w:t>
      </w:r>
      <w:proofErr w:type="spellStart"/>
      <w:r w:rsidRPr="00C97BBF">
        <w:rPr>
          <w:rFonts w:ascii="Arial" w:hAnsi="Arial" w:cs="Arial"/>
          <w:i/>
          <w:lang w:val="en-US"/>
        </w:rPr>
        <w:t>Program</w:t>
      </w:r>
      <w:r w:rsidR="004A4845">
        <w:rPr>
          <w:rFonts w:ascii="Arial" w:hAnsi="Arial" w:cs="Arial"/>
          <w:i/>
          <w:lang w:val="en-US"/>
        </w:rPr>
        <w:t>me</w:t>
      </w:r>
      <w:bookmarkEnd w:id="2"/>
      <w:proofErr w:type="spellEnd"/>
      <w:r w:rsidR="004A4845">
        <w:rPr>
          <w:rFonts w:ascii="Arial" w:hAnsi="Arial" w:cs="Arial"/>
          <w:lang w:val="en-US"/>
        </w:rPr>
        <w:t>)</w:t>
      </w:r>
      <w:r w:rsidRPr="00C97BBF">
        <w:rPr>
          <w:rFonts w:ascii="Arial" w:hAnsi="Arial" w:cs="Arial"/>
          <w:lang w:val="en-US"/>
        </w:rPr>
        <w:t xml:space="preserve"> DS412, DS426, Panel and AB Reports adopted on</w:t>
      </w:r>
      <w:r w:rsidR="004A4845">
        <w:rPr>
          <w:rFonts w:ascii="Arial" w:hAnsi="Arial" w:cs="Arial"/>
          <w:lang w:val="en-US"/>
        </w:rPr>
        <w:t xml:space="preserve"> </w:t>
      </w:r>
      <w:r w:rsidRPr="00C97BBF">
        <w:rPr>
          <w:rFonts w:ascii="Arial" w:hAnsi="Arial" w:cs="Arial"/>
          <w:lang w:val="en-US"/>
        </w:rPr>
        <w:t xml:space="preserve">May </w:t>
      </w:r>
      <w:r w:rsidR="0087237A">
        <w:rPr>
          <w:rFonts w:ascii="Arial" w:hAnsi="Arial" w:cs="Arial"/>
          <w:lang w:val="en-US"/>
        </w:rPr>
        <w:t xml:space="preserve">6, </w:t>
      </w:r>
      <w:r w:rsidRPr="00C97BBF">
        <w:rPr>
          <w:rFonts w:ascii="Arial" w:hAnsi="Arial" w:cs="Arial"/>
          <w:lang w:val="en-US"/>
        </w:rPr>
        <w:t>2013.</w:t>
      </w:r>
      <w:r w:rsidRPr="00C97BBF">
        <w:rPr>
          <w:rFonts w:ascii="Arial" w:hAnsi="Arial" w:cs="Arial"/>
          <w:i/>
          <w:lang w:val="en-US"/>
        </w:rPr>
        <w:t xml:space="preserve"> </w:t>
      </w:r>
    </w:p>
  </w:footnote>
  <w:footnote w:id="21">
    <w:p w14:paraId="793CF5F0" w14:textId="77777777" w:rsidR="0025107E" w:rsidRPr="00C97BBF" w:rsidRDefault="0025107E" w:rsidP="0091573A">
      <w:pPr>
        <w:pStyle w:val="Textodenotaderodap"/>
        <w:jc w:val="both"/>
        <w:rPr>
          <w:rFonts w:ascii="Arial" w:hAnsi="Arial" w:cs="Arial"/>
          <w:lang w:val="en-US"/>
        </w:rPr>
      </w:pPr>
      <w:bookmarkStart w:id="3" w:name="_Hlk506657617"/>
      <w:r w:rsidRPr="00C97BBF">
        <w:rPr>
          <w:rStyle w:val="Refdenotaderodap"/>
          <w:rFonts w:ascii="Arial" w:hAnsi="Arial" w:cs="Arial"/>
        </w:rPr>
        <w:footnoteRef/>
      </w:r>
      <w:r w:rsidRPr="00C97BBF">
        <w:rPr>
          <w:rFonts w:ascii="Arial" w:hAnsi="Arial" w:cs="Arial"/>
          <w:lang w:val="en-US"/>
        </w:rPr>
        <w:t xml:space="preserve"> </w:t>
      </w:r>
      <w:r w:rsidRPr="00C97BBF">
        <w:rPr>
          <w:rFonts w:ascii="Arial" w:hAnsi="Arial" w:cs="Arial"/>
          <w:i/>
          <w:lang w:val="en-US"/>
        </w:rPr>
        <w:t>India – Certain Measures Relating to Solar Cells and Solar Modules</w:t>
      </w:r>
      <w:r w:rsidRPr="00C97BBF">
        <w:rPr>
          <w:rFonts w:ascii="Arial" w:hAnsi="Arial" w:cs="Arial"/>
          <w:lang w:val="en-US"/>
        </w:rPr>
        <w:t>, DS456, Panel and AB Reports adopted on October 14, 2016.</w:t>
      </w:r>
    </w:p>
    <w:bookmarkEnd w:id="3"/>
  </w:footnote>
  <w:footnote w:id="22">
    <w:p w14:paraId="32B3DDDE" w14:textId="77777777" w:rsidR="0025107E" w:rsidRPr="00E4353D" w:rsidRDefault="0025107E" w:rsidP="00E4353D">
      <w:pPr>
        <w:pStyle w:val="Textodenotaderodap"/>
        <w:jc w:val="both"/>
        <w:rPr>
          <w:rFonts w:ascii="Times New Roman" w:hAnsi="Times New Roman" w:cs="Times New Roman"/>
          <w:lang w:val="en-US"/>
        </w:rPr>
      </w:pPr>
      <w:r w:rsidRPr="00E4353D">
        <w:rPr>
          <w:rStyle w:val="Refdenotaderodap"/>
          <w:rFonts w:ascii="Times New Roman" w:hAnsi="Times New Roman" w:cs="Times New Roman"/>
        </w:rPr>
        <w:footnoteRef/>
      </w:r>
      <w:r w:rsidRPr="00E4353D">
        <w:rPr>
          <w:rFonts w:ascii="Times New Roman" w:hAnsi="Times New Roman" w:cs="Times New Roman"/>
          <w:lang w:val="en-US"/>
        </w:rPr>
        <w:t xml:space="preserve"> </w:t>
      </w:r>
      <w:proofErr w:type="spellStart"/>
      <w:r w:rsidR="00C21C90">
        <w:rPr>
          <w:rFonts w:ascii="Times New Roman" w:hAnsi="Times New Roman" w:cs="Times New Roman"/>
          <w:lang w:val="en-US"/>
        </w:rPr>
        <w:t>Bohanes</w:t>
      </w:r>
      <w:proofErr w:type="spellEnd"/>
      <w:r w:rsidR="00E5521C">
        <w:rPr>
          <w:rFonts w:ascii="Times New Roman" w:hAnsi="Times New Roman" w:cs="Times New Roman"/>
          <w:lang w:val="en-US"/>
        </w:rPr>
        <w:t xml:space="preserve"> (2015),</w:t>
      </w:r>
      <w:r>
        <w:rPr>
          <w:rFonts w:ascii="Times New Roman" w:hAnsi="Times New Roman" w:cs="Times New Roman"/>
          <w:lang w:val="en-US"/>
        </w:rPr>
        <w:t xml:space="preserve"> p. 14. </w:t>
      </w:r>
      <w:r w:rsidRPr="00E4353D">
        <w:rPr>
          <w:rFonts w:ascii="Times New Roman" w:hAnsi="Times New Roman" w:cs="Times New Roman"/>
          <w:lang w:val="en-US"/>
        </w:rPr>
        <w:t xml:space="preserve">  </w:t>
      </w:r>
    </w:p>
  </w:footnote>
  <w:footnote w:id="23">
    <w:p w14:paraId="395353DB" w14:textId="77777777" w:rsidR="0025107E" w:rsidRPr="004F30E1" w:rsidRDefault="0025107E" w:rsidP="00024542">
      <w:pPr>
        <w:pStyle w:val="Textodenotaderodap"/>
        <w:jc w:val="both"/>
        <w:rPr>
          <w:rFonts w:ascii="Arial" w:hAnsi="Arial" w:cs="Arial"/>
          <w:lang w:val="en-US"/>
        </w:rPr>
      </w:pPr>
      <w:r w:rsidRPr="004F30E1">
        <w:rPr>
          <w:rStyle w:val="Refdenotaderodap"/>
          <w:rFonts w:ascii="Arial" w:hAnsi="Arial" w:cs="Arial"/>
        </w:rPr>
        <w:footnoteRef/>
      </w:r>
      <w:r w:rsidR="00882F9C" w:rsidRPr="004F30E1">
        <w:rPr>
          <w:rFonts w:ascii="Arial" w:hAnsi="Arial" w:cs="Arial"/>
          <w:lang w:val="en-US"/>
        </w:rPr>
        <w:t>Stephenson (2013), p. 14.</w:t>
      </w:r>
    </w:p>
  </w:footnote>
  <w:footnote w:id="24">
    <w:p w14:paraId="4CC4D9F7" w14:textId="77777777" w:rsidR="0025107E" w:rsidRPr="004F30E1" w:rsidRDefault="0025107E" w:rsidP="00C839CB">
      <w:pPr>
        <w:pStyle w:val="Textodenotaderodap"/>
        <w:jc w:val="both"/>
        <w:rPr>
          <w:rFonts w:ascii="Arial" w:hAnsi="Arial" w:cs="Arial"/>
          <w:lang w:val="en-US"/>
        </w:rPr>
      </w:pPr>
      <w:bookmarkStart w:id="4" w:name="_Hlk506391664"/>
      <w:r w:rsidRPr="004F30E1">
        <w:rPr>
          <w:rStyle w:val="Refdenotaderodap"/>
          <w:rFonts w:ascii="Arial" w:hAnsi="Arial" w:cs="Arial"/>
        </w:rPr>
        <w:footnoteRef/>
      </w:r>
      <w:r w:rsidRPr="004F30E1">
        <w:rPr>
          <w:rFonts w:ascii="Arial" w:hAnsi="Arial" w:cs="Arial"/>
          <w:lang w:val="en-US"/>
        </w:rPr>
        <w:t xml:space="preserve"> </w:t>
      </w:r>
      <w:r w:rsidRPr="004F30E1">
        <w:rPr>
          <w:rFonts w:ascii="Arial" w:hAnsi="Arial" w:cs="Arial"/>
          <w:i/>
          <w:lang w:val="en-US"/>
        </w:rPr>
        <w:t>Brazil – Certain Measures Concerning Taxation and Charge</w:t>
      </w:r>
      <w:r w:rsidRPr="004F30E1">
        <w:rPr>
          <w:rFonts w:ascii="Arial" w:hAnsi="Arial" w:cs="Arial"/>
          <w:lang w:val="en-US"/>
        </w:rPr>
        <w:t>, DS472/497</w:t>
      </w:r>
      <w:bookmarkEnd w:id="4"/>
      <w:r w:rsidRPr="004F30E1">
        <w:rPr>
          <w:rFonts w:ascii="Arial" w:hAnsi="Arial" w:cs="Arial"/>
          <w:lang w:val="en-US"/>
        </w:rPr>
        <w:t>.  Panel’s Reports circulated on August 30, 2017.</w:t>
      </w:r>
    </w:p>
  </w:footnote>
  <w:footnote w:id="25">
    <w:p w14:paraId="36EAB7AA" w14:textId="77777777" w:rsidR="0025107E" w:rsidRPr="00BF3C67" w:rsidRDefault="0025107E" w:rsidP="00BF3C67">
      <w:pPr>
        <w:pStyle w:val="Textodenotaderodap"/>
        <w:jc w:val="both"/>
        <w:rPr>
          <w:rFonts w:ascii="Times New Roman" w:hAnsi="Times New Roman" w:cs="Times New Roman"/>
          <w:lang w:val="en-US"/>
        </w:rPr>
      </w:pPr>
      <w:r w:rsidRPr="00BF3C67">
        <w:rPr>
          <w:rStyle w:val="Refdenotaderodap"/>
          <w:rFonts w:ascii="Times New Roman" w:hAnsi="Times New Roman" w:cs="Times New Roman"/>
        </w:rPr>
        <w:footnoteRef/>
      </w:r>
      <w:r w:rsidRPr="00BF3C67">
        <w:rPr>
          <w:rFonts w:ascii="Times New Roman" w:hAnsi="Times New Roman" w:cs="Times New Roman"/>
          <w:lang w:val="en-US"/>
        </w:rPr>
        <w:t xml:space="preserve"> See in this respect </w:t>
      </w:r>
      <w:proofErr w:type="spellStart"/>
      <w:r w:rsidR="00CD7C61">
        <w:rPr>
          <w:rFonts w:ascii="Times New Roman" w:hAnsi="Times New Roman" w:cs="Times New Roman"/>
          <w:lang w:val="en-US"/>
        </w:rPr>
        <w:t>Randoo</w:t>
      </w:r>
      <w:proofErr w:type="spellEnd"/>
      <w:r w:rsidR="00CD7C61">
        <w:rPr>
          <w:rFonts w:ascii="Times New Roman" w:hAnsi="Times New Roman" w:cs="Times New Roman"/>
          <w:lang w:val="en-US"/>
        </w:rPr>
        <w:t xml:space="preserve"> (2015), p. 6</w:t>
      </w:r>
      <w:r w:rsidRPr="00BF3C67">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511D8"/>
    <w:multiLevelType w:val="hybridMultilevel"/>
    <w:tmpl w:val="B5889B7A"/>
    <w:lvl w:ilvl="0" w:tplc="0B726316">
      <w:start w:val="1"/>
      <w:numFmt w:val="decimal"/>
      <w:lvlText w:val="%1."/>
      <w:lvlJc w:val="left"/>
      <w:pPr>
        <w:ind w:left="2643" w:hanging="375"/>
      </w:pPr>
      <w:rPr>
        <w:rFonts w:hint="default"/>
      </w:rPr>
    </w:lvl>
    <w:lvl w:ilvl="1" w:tplc="04160019" w:tentative="1">
      <w:start w:val="1"/>
      <w:numFmt w:val="lowerLetter"/>
      <w:lvlText w:val="%2."/>
      <w:lvlJc w:val="left"/>
      <w:pPr>
        <w:ind w:left="3489" w:hanging="360"/>
      </w:pPr>
    </w:lvl>
    <w:lvl w:ilvl="2" w:tplc="0416001B" w:tentative="1">
      <w:start w:val="1"/>
      <w:numFmt w:val="lowerRoman"/>
      <w:lvlText w:val="%3."/>
      <w:lvlJc w:val="right"/>
      <w:pPr>
        <w:ind w:left="4209" w:hanging="180"/>
      </w:pPr>
    </w:lvl>
    <w:lvl w:ilvl="3" w:tplc="0416000F" w:tentative="1">
      <w:start w:val="1"/>
      <w:numFmt w:val="decimal"/>
      <w:lvlText w:val="%4."/>
      <w:lvlJc w:val="left"/>
      <w:pPr>
        <w:ind w:left="4929" w:hanging="360"/>
      </w:pPr>
    </w:lvl>
    <w:lvl w:ilvl="4" w:tplc="04160019" w:tentative="1">
      <w:start w:val="1"/>
      <w:numFmt w:val="lowerLetter"/>
      <w:lvlText w:val="%5."/>
      <w:lvlJc w:val="left"/>
      <w:pPr>
        <w:ind w:left="5649" w:hanging="360"/>
      </w:pPr>
    </w:lvl>
    <w:lvl w:ilvl="5" w:tplc="0416001B" w:tentative="1">
      <w:start w:val="1"/>
      <w:numFmt w:val="lowerRoman"/>
      <w:lvlText w:val="%6."/>
      <w:lvlJc w:val="right"/>
      <w:pPr>
        <w:ind w:left="6369" w:hanging="180"/>
      </w:pPr>
    </w:lvl>
    <w:lvl w:ilvl="6" w:tplc="0416000F" w:tentative="1">
      <w:start w:val="1"/>
      <w:numFmt w:val="decimal"/>
      <w:lvlText w:val="%7."/>
      <w:lvlJc w:val="left"/>
      <w:pPr>
        <w:ind w:left="7089" w:hanging="360"/>
      </w:pPr>
    </w:lvl>
    <w:lvl w:ilvl="7" w:tplc="04160019" w:tentative="1">
      <w:start w:val="1"/>
      <w:numFmt w:val="lowerLetter"/>
      <w:lvlText w:val="%8."/>
      <w:lvlJc w:val="left"/>
      <w:pPr>
        <w:ind w:left="7809" w:hanging="360"/>
      </w:pPr>
    </w:lvl>
    <w:lvl w:ilvl="8" w:tplc="0416001B" w:tentative="1">
      <w:start w:val="1"/>
      <w:numFmt w:val="lowerRoman"/>
      <w:lvlText w:val="%9."/>
      <w:lvlJc w:val="right"/>
      <w:pPr>
        <w:ind w:left="85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7F60"/>
    <w:rsid w:val="00002314"/>
    <w:rsid w:val="000046B4"/>
    <w:rsid w:val="000047BE"/>
    <w:rsid w:val="00005A41"/>
    <w:rsid w:val="00011DA5"/>
    <w:rsid w:val="0001524A"/>
    <w:rsid w:val="0001764B"/>
    <w:rsid w:val="00022588"/>
    <w:rsid w:val="00023740"/>
    <w:rsid w:val="00024542"/>
    <w:rsid w:val="0002455A"/>
    <w:rsid w:val="00025380"/>
    <w:rsid w:val="00037FCE"/>
    <w:rsid w:val="0004143B"/>
    <w:rsid w:val="00043DF4"/>
    <w:rsid w:val="00046891"/>
    <w:rsid w:val="00054775"/>
    <w:rsid w:val="00056072"/>
    <w:rsid w:val="00061DFA"/>
    <w:rsid w:val="000630A5"/>
    <w:rsid w:val="00064B43"/>
    <w:rsid w:val="00064FD6"/>
    <w:rsid w:val="00070D66"/>
    <w:rsid w:val="00072E4F"/>
    <w:rsid w:val="0007366C"/>
    <w:rsid w:val="000763FF"/>
    <w:rsid w:val="00092DC5"/>
    <w:rsid w:val="0009657F"/>
    <w:rsid w:val="00096FB9"/>
    <w:rsid w:val="000A73AD"/>
    <w:rsid w:val="000B0544"/>
    <w:rsid w:val="000C096F"/>
    <w:rsid w:val="000C4A44"/>
    <w:rsid w:val="000D03B6"/>
    <w:rsid w:val="000D0CE1"/>
    <w:rsid w:val="000E069D"/>
    <w:rsid w:val="000E2941"/>
    <w:rsid w:val="000F00D7"/>
    <w:rsid w:val="000F0479"/>
    <w:rsid w:val="000F111C"/>
    <w:rsid w:val="00104645"/>
    <w:rsid w:val="00105C54"/>
    <w:rsid w:val="001074F7"/>
    <w:rsid w:val="00112467"/>
    <w:rsid w:val="00113A2F"/>
    <w:rsid w:val="0011581C"/>
    <w:rsid w:val="00116CD1"/>
    <w:rsid w:val="0012251E"/>
    <w:rsid w:val="00136254"/>
    <w:rsid w:val="001368FE"/>
    <w:rsid w:val="00140404"/>
    <w:rsid w:val="001441E8"/>
    <w:rsid w:val="001447B1"/>
    <w:rsid w:val="00147636"/>
    <w:rsid w:val="0015206C"/>
    <w:rsid w:val="001563FF"/>
    <w:rsid w:val="00177EE3"/>
    <w:rsid w:val="00181FDA"/>
    <w:rsid w:val="00186C6C"/>
    <w:rsid w:val="00186E3D"/>
    <w:rsid w:val="00187C67"/>
    <w:rsid w:val="001939A2"/>
    <w:rsid w:val="001A10EC"/>
    <w:rsid w:val="001B003B"/>
    <w:rsid w:val="001B6CF6"/>
    <w:rsid w:val="001C115A"/>
    <w:rsid w:val="001C6B8C"/>
    <w:rsid w:val="001C703D"/>
    <w:rsid w:val="001D4029"/>
    <w:rsid w:val="001E5C51"/>
    <w:rsid w:val="0020091D"/>
    <w:rsid w:val="0020477E"/>
    <w:rsid w:val="00205A14"/>
    <w:rsid w:val="00207CFC"/>
    <w:rsid w:val="00214139"/>
    <w:rsid w:val="00223F3E"/>
    <w:rsid w:val="0022403A"/>
    <w:rsid w:val="00224A19"/>
    <w:rsid w:val="00225C9B"/>
    <w:rsid w:val="00227042"/>
    <w:rsid w:val="00227C82"/>
    <w:rsid w:val="0023137F"/>
    <w:rsid w:val="002315B8"/>
    <w:rsid w:val="002333E8"/>
    <w:rsid w:val="0023674A"/>
    <w:rsid w:val="002409C3"/>
    <w:rsid w:val="002442F6"/>
    <w:rsid w:val="00244348"/>
    <w:rsid w:val="002478BD"/>
    <w:rsid w:val="00250EBA"/>
    <w:rsid w:val="0025107E"/>
    <w:rsid w:val="00251245"/>
    <w:rsid w:val="0027640B"/>
    <w:rsid w:val="00277F60"/>
    <w:rsid w:val="002817E6"/>
    <w:rsid w:val="002A0116"/>
    <w:rsid w:val="002A3326"/>
    <w:rsid w:val="002A4938"/>
    <w:rsid w:val="002A6CB4"/>
    <w:rsid w:val="002A6E52"/>
    <w:rsid w:val="002D5370"/>
    <w:rsid w:val="002D6362"/>
    <w:rsid w:val="002D7944"/>
    <w:rsid w:val="002E5C21"/>
    <w:rsid w:val="002E6F69"/>
    <w:rsid w:val="002F04FD"/>
    <w:rsid w:val="002F0F21"/>
    <w:rsid w:val="002F30BE"/>
    <w:rsid w:val="002F400F"/>
    <w:rsid w:val="003053C8"/>
    <w:rsid w:val="00306788"/>
    <w:rsid w:val="00323132"/>
    <w:rsid w:val="00326B71"/>
    <w:rsid w:val="0032791E"/>
    <w:rsid w:val="00327F0D"/>
    <w:rsid w:val="0033077F"/>
    <w:rsid w:val="00337761"/>
    <w:rsid w:val="00340A49"/>
    <w:rsid w:val="00344E55"/>
    <w:rsid w:val="00345BC7"/>
    <w:rsid w:val="00352B2E"/>
    <w:rsid w:val="00352E9B"/>
    <w:rsid w:val="00357386"/>
    <w:rsid w:val="0035763D"/>
    <w:rsid w:val="00360D48"/>
    <w:rsid w:val="00375AC5"/>
    <w:rsid w:val="003A6215"/>
    <w:rsid w:val="003B3199"/>
    <w:rsid w:val="003B4975"/>
    <w:rsid w:val="003C3330"/>
    <w:rsid w:val="003C4201"/>
    <w:rsid w:val="003C6344"/>
    <w:rsid w:val="003C770D"/>
    <w:rsid w:val="003D31B0"/>
    <w:rsid w:val="003D5947"/>
    <w:rsid w:val="003D7161"/>
    <w:rsid w:val="00400BBD"/>
    <w:rsid w:val="00401FA4"/>
    <w:rsid w:val="00402EBB"/>
    <w:rsid w:val="0040331A"/>
    <w:rsid w:val="00404CA8"/>
    <w:rsid w:val="0040609C"/>
    <w:rsid w:val="00415C8B"/>
    <w:rsid w:val="004166EE"/>
    <w:rsid w:val="00431BD8"/>
    <w:rsid w:val="0043208E"/>
    <w:rsid w:val="00442529"/>
    <w:rsid w:val="00445247"/>
    <w:rsid w:val="004464EA"/>
    <w:rsid w:val="004465B8"/>
    <w:rsid w:val="00450538"/>
    <w:rsid w:val="0045152D"/>
    <w:rsid w:val="004558FE"/>
    <w:rsid w:val="004605C7"/>
    <w:rsid w:val="0046089C"/>
    <w:rsid w:val="004628DB"/>
    <w:rsid w:val="004775B9"/>
    <w:rsid w:val="00482E55"/>
    <w:rsid w:val="004846FB"/>
    <w:rsid w:val="004861CE"/>
    <w:rsid w:val="00490197"/>
    <w:rsid w:val="00491B70"/>
    <w:rsid w:val="004925B8"/>
    <w:rsid w:val="004A4845"/>
    <w:rsid w:val="004A63A0"/>
    <w:rsid w:val="004B48B3"/>
    <w:rsid w:val="004B71F2"/>
    <w:rsid w:val="004C14CC"/>
    <w:rsid w:val="004C187D"/>
    <w:rsid w:val="004C4705"/>
    <w:rsid w:val="004C73AF"/>
    <w:rsid w:val="004D1DAF"/>
    <w:rsid w:val="004D7DDE"/>
    <w:rsid w:val="004E21DD"/>
    <w:rsid w:val="004E2AF7"/>
    <w:rsid w:val="004F30E1"/>
    <w:rsid w:val="004F35E6"/>
    <w:rsid w:val="004F4011"/>
    <w:rsid w:val="005049D5"/>
    <w:rsid w:val="00506E2F"/>
    <w:rsid w:val="00511791"/>
    <w:rsid w:val="00511800"/>
    <w:rsid w:val="00523301"/>
    <w:rsid w:val="0055651E"/>
    <w:rsid w:val="00556BC0"/>
    <w:rsid w:val="00556F60"/>
    <w:rsid w:val="00561225"/>
    <w:rsid w:val="00571189"/>
    <w:rsid w:val="00571CC9"/>
    <w:rsid w:val="00575D0C"/>
    <w:rsid w:val="00576168"/>
    <w:rsid w:val="00583101"/>
    <w:rsid w:val="005843B5"/>
    <w:rsid w:val="00586D86"/>
    <w:rsid w:val="00587B6D"/>
    <w:rsid w:val="00592754"/>
    <w:rsid w:val="005A0D32"/>
    <w:rsid w:val="005A0E45"/>
    <w:rsid w:val="005A1588"/>
    <w:rsid w:val="005A1AED"/>
    <w:rsid w:val="005A4921"/>
    <w:rsid w:val="005B30DA"/>
    <w:rsid w:val="005B5A58"/>
    <w:rsid w:val="005C31BB"/>
    <w:rsid w:val="005C46EF"/>
    <w:rsid w:val="005C611F"/>
    <w:rsid w:val="005C69B4"/>
    <w:rsid w:val="005C75EE"/>
    <w:rsid w:val="005D2445"/>
    <w:rsid w:val="005D4096"/>
    <w:rsid w:val="005E3713"/>
    <w:rsid w:val="005F7719"/>
    <w:rsid w:val="00600512"/>
    <w:rsid w:val="00610DC1"/>
    <w:rsid w:val="006146BD"/>
    <w:rsid w:val="00620A1D"/>
    <w:rsid w:val="006242F9"/>
    <w:rsid w:val="00627C80"/>
    <w:rsid w:val="0063274B"/>
    <w:rsid w:val="00632ABB"/>
    <w:rsid w:val="0063404B"/>
    <w:rsid w:val="00637067"/>
    <w:rsid w:val="00641DBC"/>
    <w:rsid w:val="006424CE"/>
    <w:rsid w:val="006472AC"/>
    <w:rsid w:val="00651376"/>
    <w:rsid w:val="00657425"/>
    <w:rsid w:val="00657C1C"/>
    <w:rsid w:val="00665BCE"/>
    <w:rsid w:val="00673425"/>
    <w:rsid w:val="00676478"/>
    <w:rsid w:val="0068206B"/>
    <w:rsid w:val="0068588D"/>
    <w:rsid w:val="006901BA"/>
    <w:rsid w:val="0069106E"/>
    <w:rsid w:val="00691D7A"/>
    <w:rsid w:val="006934DC"/>
    <w:rsid w:val="00695A61"/>
    <w:rsid w:val="00695AF4"/>
    <w:rsid w:val="006A595C"/>
    <w:rsid w:val="006A6B08"/>
    <w:rsid w:val="006B0E4D"/>
    <w:rsid w:val="006B78BF"/>
    <w:rsid w:val="006B7EC4"/>
    <w:rsid w:val="006C00DE"/>
    <w:rsid w:val="006C265D"/>
    <w:rsid w:val="006D3D4E"/>
    <w:rsid w:val="006E4D04"/>
    <w:rsid w:val="006F1A49"/>
    <w:rsid w:val="006F4E3A"/>
    <w:rsid w:val="00710F55"/>
    <w:rsid w:val="00711FFA"/>
    <w:rsid w:val="00717466"/>
    <w:rsid w:val="00720306"/>
    <w:rsid w:val="0073511E"/>
    <w:rsid w:val="007417ED"/>
    <w:rsid w:val="0074183C"/>
    <w:rsid w:val="00743351"/>
    <w:rsid w:val="00752555"/>
    <w:rsid w:val="007539AA"/>
    <w:rsid w:val="007568D1"/>
    <w:rsid w:val="00761CAC"/>
    <w:rsid w:val="00762E76"/>
    <w:rsid w:val="0076333B"/>
    <w:rsid w:val="00764414"/>
    <w:rsid w:val="00773CD0"/>
    <w:rsid w:val="00780C6B"/>
    <w:rsid w:val="007818A0"/>
    <w:rsid w:val="007904E4"/>
    <w:rsid w:val="00790670"/>
    <w:rsid w:val="00792510"/>
    <w:rsid w:val="00794C8F"/>
    <w:rsid w:val="00795C72"/>
    <w:rsid w:val="007C5879"/>
    <w:rsid w:val="007D15FD"/>
    <w:rsid w:val="007E4F62"/>
    <w:rsid w:val="007F0163"/>
    <w:rsid w:val="007F02A4"/>
    <w:rsid w:val="007F61E7"/>
    <w:rsid w:val="00802891"/>
    <w:rsid w:val="008044A9"/>
    <w:rsid w:val="00814B24"/>
    <w:rsid w:val="00825A6F"/>
    <w:rsid w:val="00831BD1"/>
    <w:rsid w:val="00834DEE"/>
    <w:rsid w:val="00837E72"/>
    <w:rsid w:val="00840796"/>
    <w:rsid w:val="00840856"/>
    <w:rsid w:val="00853DED"/>
    <w:rsid w:val="00857980"/>
    <w:rsid w:val="0086177F"/>
    <w:rsid w:val="0086287F"/>
    <w:rsid w:val="00865479"/>
    <w:rsid w:val="008672D1"/>
    <w:rsid w:val="00867917"/>
    <w:rsid w:val="0087237A"/>
    <w:rsid w:val="00873BBB"/>
    <w:rsid w:val="00874BE8"/>
    <w:rsid w:val="0088266D"/>
    <w:rsid w:val="00882F9C"/>
    <w:rsid w:val="0088603A"/>
    <w:rsid w:val="00895EF8"/>
    <w:rsid w:val="00897282"/>
    <w:rsid w:val="008A520B"/>
    <w:rsid w:val="008B4BE4"/>
    <w:rsid w:val="008C101D"/>
    <w:rsid w:val="008D1160"/>
    <w:rsid w:val="008D1E9D"/>
    <w:rsid w:val="008D2B91"/>
    <w:rsid w:val="008D6A17"/>
    <w:rsid w:val="008E0831"/>
    <w:rsid w:val="008E4DB0"/>
    <w:rsid w:val="008E5DD3"/>
    <w:rsid w:val="008F08C5"/>
    <w:rsid w:val="008F2F61"/>
    <w:rsid w:val="008F544B"/>
    <w:rsid w:val="008F5CA2"/>
    <w:rsid w:val="0091573A"/>
    <w:rsid w:val="0092525C"/>
    <w:rsid w:val="00926C36"/>
    <w:rsid w:val="00933860"/>
    <w:rsid w:val="009404AB"/>
    <w:rsid w:val="009415FA"/>
    <w:rsid w:val="009419E5"/>
    <w:rsid w:val="00943CFD"/>
    <w:rsid w:val="00947B50"/>
    <w:rsid w:val="00952962"/>
    <w:rsid w:val="0096405D"/>
    <w:rsid w:val="00981179"/>
    <w:rsid w:val="009814D1"/>
    <w:rsid w:val="0098478D"/>
    <w:rsid w:val="00993E0E"/>
    <w:rsid w:val="009A198A"/>
    <w:rsid w:val="009A4A2C"/>
    <w:rsid w:val="009B2741"/>
    <w:rsid w:val="009B293D"/>
    <w:rsid w:val="009C039B"/>
    <w:rsid w:val="009C2F53"/>
    <w:rsid w:val="009C3CFA"/>
    <w:rsid w:val="009D0017"/>
    <w:rsid w:val="009D0788"/>
    <w:rsid w:val="009D3858"/>
    <w:rsid w:val="009E2D52"/>
    <w:rsid w:val="009E36F2"/>
    <w:rsid w:val="009F6386"/>
    <w:rsid w:val="00A02405"/>
    <w:rsid w:val="00A04AE3"/>
    <w:rsid w:val="00A077F6"/>
    <w:rsid w:val="00A11E82"/>
    <w:rsid w:val="00A132EF"/>
    <w:rsid w:val="00A15374"/>
    <w:rsid w:val="00A24FF4"/>
    <w:rsid w:val="00A27CC3"/>
    <w:rsid w:val="00A30B33"/>
    <w:rsid w:val="00A31A4F"/>
    <w:rsid w:val="00A37915"/>
    <w:rsid w:val="00A61021"/>
    <w:rsid w:val="00A621D0"/>
    <w:rsid w:val="00A6316A"/>
    <w:rsid w:val="00A655D7"/>
    <w:rsid w:val="00A71296"/>
    <w:rsid w:val="00A82479"/>
    <w:rsid w:val="00A82E0D"/>
    <w:rsid w:val="00A830DD"/>
    <w:rsid w:val="00AA0899"/>
    <w:rsid w:val="00AA286D"/>
    <w:rsid w:val="00AA3C86"/>
    <w:rsid w:val="00AA598B"/>
    <w:rsid w:val="00AA6262"/>
    <w:rsid w:val="00AB4C00"/>
    <w:rsid w:val="00AC75DB"/>
    <w:rsid w:val="00AE2D10"/>
    <w:rsid w:val="00AE4105"/>
    <w:rsid w:val="00B000FC"/>
    <w:rsid w:val="00B048FC"/>
    <w:rsid w:val="00B06B1E"/>
    <w:rsid w:val="00B10ACE"/>
    <w:rsid w:val="00B117C9"/>
    <w:rsid w:val="00B14465"/>
    <w:rsid w:val="00B220C9"/>
    <w:rsid w:val="00B30CD7"/>
    <w:rsid w:val="00B3186A"/>
    <w:rsid w:val="00B347D0"/>
    <w:rsid w:val="00B45158"/>
    <w:rsid w:val="00B5503A"/>
    <w:rsid w:val="00B60B1A"/>
    <w:rsid w:val="00B62BC7"/>
    <w:rsid w:val="00B70359"/>
    <w:rsid w:val="00B7317D"/>
    <w:rsid w:val="00B731B5"/>
    <w:rsid w:val="00B76E5D"/>
    <w:rsid w:val="00B82DB0"/>
    <w:rsid w:val="00B85911"/>
    <w:rsid w:val="00B86805"/>
    <w:rsid w:val="00B912B1"/>
    <w:rsid w:val="00B94D03"/>
    <w:rsid w:val="00B96ED5"/>
    <w:rsid w:val="00BA0988"/>
    <w:rsid w:val="00BA5744"/>
    <w:rsid w:val="00BA6A37"/>
    <w:rsid w:val="00BA7DAB"/>
    <w:rsid w:val="00BB606A"/>
    <w:rsid w:val="00BC0939"/>
    <w:rsid w:val="00BC3560"/>
    <w:rsid w:val="00BC533C"/>
    <w:rsid w:val="00BD11D4"/>
    <w:rsid w:val="00BD6D5A"/>
    <w:rsid w:val="00BD7AC9"/>
    <w:rsid w:val="00BD7FAE"/>
    <w:rsid w:val="00BE1314"/>
    <w:rsid w:val="00BE20C3"/>
    <w:rsid w:val="00BE290D"/>
    <w:rsid w:val="00BF3470"/>
    <w:rsid w:val="00BF3C67"/>
    <w:rsid w:val="00C127B9"/>
    <w:rsid w:val="00C12F08"/>
    <w:rsid w:val="00C13AD3"/>
    <w:rsid w:val="00C2095D"/>
    <w:rsid w:val="00C20E39"/>
    <w:rsid w:val="00C21AFC"/>
    <w:rsid w:val="00C21C90"/>
    <w:rsid w:val="00C2210A"/>
    <w:rsid w:val="00C35881"/>
    <w:rsid w:val="00C412A7"/>
    <w:rsid w:val="00C47743"/>
    <w:rsid w:val="00C50F13"/>
    <w:rsid w:val="00C53B15"/>
    <w:rsid w:val="00C57958"/>
    <w:rsid w:val="00C60041"/>
    <w:rsid w:val="00C60859"/>
    <w:rsid w:val="00C620FF"/>
    <w:rsid w:val="00C63E7B"/>
    <w:rsid w:val="00C65FED"/>
    <w:rsid w:val="00C67EDE"/>
    <w:rsid w:val="00C74C15"/>
    <w:rsid w:val="00C810D8"/>
    <w:rsid w:val="00C8210E"/>
    <w:rsid w:val="00C82A7A"/>
    <w:rsid w:val="00C839CB"/>
    <w:rsid w:val="00C848F3"/>
    <w:rsid w:val="00C84A0D"/>
    <w:rsid w:val="00C87FD0"/>
    <w:rsid w:val="00C90E46"/>
    <w:rsid w:val="00C91686"/>
    <w:rsid w:val="00C91CBB"/>
    <w:rsid w:val="00C97BBF"/>
    <w:rsid w:val="00CA678E"/>
    <w:rsid w:val="00CD3156"/>
    <w:rsid w:val="00CD39B4"/>
    <w:rsid w:val="00CD7C61"/>
    <w:rsid w:val="00CE2C70"/>
    <w:rsid w:val="00D009F0"/>
    <w:rsid w:val="00D014AC"/>
    <w:rsid w:val="00D16D3F"/>
    <w:rsid w:val="00D176CA"/>
    <w:rsid w:val="00D214F9"/>
    <w:rsid w:val="00D36C11"/>
    <w:rsid w:val="00D40694"/>
    <w:rsid w:val="00D469AA"/>
    <w:rsid w:val="00D54BD8"/>
    <w:rsid w:val="00D55B49"/>
    <w:rsid w:val="00D667E4"/>
    <w:rsid w:val="00D66EB6"/>
    <w:rsid w:val="00D72BBA"/>
    <w:rsid w:val="00D736FC"/>
    <w:rsid w:val="00D75367"/>
    <w:rsid w:val="00D779DD"/>
    <w:rsid w:val="00D815B6"/>
    <w:rsid w:val="00D855D2"/>
    <w:rsid w:val="00D909C8"/>
    <w:rsid w:val="00D94543"/>
    <w:rsid w:val="00DA747E"/>
    <w:rsid w:val="00DB129E"/>
    <w:rsid w:val="00DC50DB"/>
    <w:rsid w:val="00DD11A5"/>
    <w:rsid w:val="00DD18D5"/>
    <w:rsid w:val="00DD4834"/>
    <w:rsid w:val="00E0084A"/>
    <w:rsid w:val="00E014B0"/>
    <w:rsid w:val="00E0632E"/>
    <w:rsid w:val="00E11FE1"/>
    <w:rsid w:val="00E14999"/>
    <w:rsid w:val="00E150DC"/>
    <w:rsid w:val="00E15BF2"/>
    <w:rsid w:val="00E16CEE"/>
    <w:rsid w:val="00E41D9E"/>
    <w:rsid w:val="00E42826"/>
    <w:rsid w:val="00E4353D"/>
    <w:rsid w:val="00E45801"/>
    <w:rsid w:val="00E51E0D"/>
    <w:rsid w:val="00E5521C"/>
    <w:rsid w:val="00E601DE"/>
    <w:rsid w:val="00E60A7A"/>
    <w:rsid w:val="00E702F8"/>
    <w:rsid w:val="00E80DFE"/>
    <w:rsid w:val="00E907C7"/>
    <w:rsid w:val="00E975AB"/>
    <w:rsid w:val="00EA1053"/>
    <w:rsid w:val="00EA1A69"/>
    <w:rsid w:val="00EA2332"/>
    <w:rsid w:val="00EC2159"/>
    <w:rsid w:val="00EC6043"/>
    <w:rsid w:val="00ED730E"/>
    <w:rsid w:val="00EE2758"/>
    <w:rsid w:val="00EF6360"/>
    <w:rsid w:val="00EF7E79"/>
    <w:rsid w:val="00F00B44"/>
    <w:rsid w:val="00F0480F"/>
    <w:rsid w:val="00F04ABA"/>
    <w:rsid w:val="00F06312"/>
    <w:rsid w:val="00F07F42"/>
    <w:rsid w:val="00F10F8E"/>
    <w:rsid w:val="00F123CE"/>
    <w:rsid w:val="00F12AE3"/>
    <w:rsid w:val="00F12BB8"/>
    <w:rsid w:val="00F24626"/>
    <w:rsid w:val="00F26D11"/>
    <w:rsid w:val="00F33538"/>
    <w:rsid w:val="00F51631"/>
    <w:rsid w:val="00F51AB9"/>
    <w:rsid w:val="00F60684"/>
    <w:rsid w:val="00F61370"/>
    <w:rsid w:val="00F83F9C"/>
    <w:rsid w:val="00F86B53"/>
    <w:rsid w:val="00F9408B"/>
    <w:rsid w:val="00F97DD6"/>
    <w:rsid w:val="00FA3C6F"/>
    <w:rsid w:val="00FA6656"/>
    <w:rsid w:val="00FB20C2"/>
    <w:rsid w:val="00FB7AC0"/>
    <w:rsid w:val="00FC6751"/>
    <w:rsid w:val="00FD7D80"/>
    <w:rsid w:val="00FE375E"/>
    <w:rsid w:val="00FE56A9"/>
    <w:rsid w:val="00FF6A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163E"/>
  <w15:docId w15:val="{41AC8C0A-F2C4-4BFC-B0AB-F9E801A5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8D1"/>
  </w:style>
  <w:style w:type="paragraph" w:styleId="Ttulo1">
    <w:name w:val="heading 1"/>
    <w:basedOn w:val="Normal"/>
    <w:next w:val="Normal"/>
    <w:link w:val="Ttulo1Char"/>
    <w:uiPriority w:val="9"/>
    <w:qFormat/>
    <w:rsid w:val="000A7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2478BD"/>
    <w:pPr>
      <w:spacing w:line="240" w:lineRule="auto"/>
    </w:pPr>
    <w:rPr>
      <w:i/>
      <w:iCs/>
      <w:color w:val="1F497D" w:themeColor="text2"/>
      <w:sz w:val="18"/>
      <w:szCs w:val="18"/>
    </w:rPr>
  </w:style>
  <w:style w:type="character" w:customStyle="1" w:styleId="Ttulo1Char">
    <w:name w:val="Título 1 Char"/>
    <w:basedOn w:val="Fontepargpadro"/>
    <w:link w:val="Ttulo1"/>
    <w:uiPriority w:val="9"/>
    <w:rsid w:val="000A73AD"/>
    <w:rPr>
      <w:rFonts w:asciiTheme="majorHAnsi" w:eastAsiaTheme="majorEastAsia" w:hAnsiTheme="majorHAnsi" w:cstheme="majorBidi"/>
      <w:b/>
      <w:bCs/>
      <w:color w:val="365F91" w:themeColor="accent1" w:themeShade="BF"/>
      <w:sz w:val="28"/>
      <w:szCs w:val="28"/>
    </w:rPr>
  </w:style>
  <w:style w:type="paragraph" w:styleId="Textodenotaderodap">
    <w:name w:val="footnote text"/>
    <w:aliases w:val="fn,footnote text,Footnotes,ft,Footnote ak,fn cafc,fn Char,footnote text Char,Footnotes Char,Footnote ak Char,Footnote Text Char,Footnotes Char Char,Footnote Text Char Char,fn Char Char,footnote text Char Char Char Ch,f"/>
    <w:basedOn w:val="Normal"/>
    <w:link w:val="TextodenotaderodapChar"/>
    <w:unhideWhenUsed/>
    <w:rsid w:val="000A73AD"/>
    <w:pPr>
      <w:spacing w:after="0" w:line="240" w:lineRule="auto"/>
    </w:pPr>
    <w:rPr>
      <w:sz w:val="20"/>
      <w:szCs w:val="20"/>
    </w:rPr>
  </w:style>
  <w:style w:type="character" w:customStyle="1" w:styleId="TextodenotaderodapChar">
    <w:name w:val="Texto de nota de rodapé Char"/>
    <w:aliases w:val="fn Char1,footnote text Char1,Footnotes Char1,ft Char,Footnote ak Char1,fn cafc Char,fn Char Char1,footnote text Char Char,Footnotes Char Char1,Footnote ak Char Char,Footnote Text Char Char1,Footnotes Char Char Char,f Char"/>
    <w:basedOn w:val="Fontepargpadro"/>
    <w:link w:val="Textodenotaderodap"/>
    <w:rsid w:val="000A73AD"/>
    <w:rPr>
      <w:sz w:val="20"/>
      <w:szCs w:val="20"/>
    </w:rPr>
  </w:style>
  <w:style w:type="character" w:styleId="Refdenotaderodap">
    <w:name w:val="footnote reference"/>
    <w:aliases w:val="Ref,de nota al pie,註腳內容"/>
    <w:basedOn w:val="Fontepargpadro"/>
    <w:unhideWhenUsed/>
    <w:rsid w:val="000A73AD"/>
    <w:rPr>
      <w:vertAlign w:val="superscript"/>
    </w:rPr>
  </w:style>
  <w:style w:type="paragraph" w:customStyle="1" w:styleId="Default">
    <w:name w:val="Default"/>
    <w:rsid w:val="00BD11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normaltext">
    <w:name w:val="paranormaltext"/>
    <w:basedOn w:val="Normal"/>
    <w:rsid w:val="00A30B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boldtext">
    <w:name w:val="paraboldtext"/>
    <w:basedOn w:val="Normal"/>
    <w:rsid w:val="006340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ocindent4">
    <w:name w:val="tocindent4"/>
    <w:basedOn w:val="Normal"/>
    <w:rsid w:val="006340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82E55"/>
  </w:style>
  <w:style w:type="character" w:styleId="Hyperlink">
    <w:name w:val="Hyperlink"/>
    <w:basedOn w:val="Fontepargpadro"/>
    <w:uiPriority w:val="99"/>
    <w:unhideWhenUsed/>
    <w:rsid w:val="00780C6B"/>
    <w:rPr>
      <w:color w:val="0000FF"/>
      <w:u w:val="single"/>
    </w:rPr>
  </w:style>
  <w:style w:type="paragraph" w:styleId="NormalWeb">
    <w:name w:val="Normal (Web)"/>
    <w:basedOn w:val="Normal"/>
    <w:uiPriority w:val="99"/>
    <w:semiHidden/>
    <w:unhideWhenUsed/>
    <w:rsid w:val="004060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F2F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2F61"/>
  </w:style>
  <w:style w:type="paragraph" w:styleId="Rodap">
    <w:name w:val="footer"/>
    <w:basedOn w:val="Normal"/>
    <w:link w:val="RodapChar"/>
    <w:uiPriority w:val="99"/>
    <w:unhideWhenUsed/>
    <w:rsid w:val="008F2F61"/>
    <w:pPr>
      <w:tabs>
        <w:tab w:val="center" w:pos="4252"/>
        <w:tab w:val="right" w:pos="8504"/>
      </w:tabs>
      <w:spacing w:after="0" w:line="240" w:lineRule="auto"/>
    </w:pPr>
  </w:style>
  <w:style w:type="character" w:customStyle="1" w:styleId="RodapChar">
    <w:name w:val="Rodapé Char"/>
    <w:basedOn w:val="Fontepargpadro"/>
    <w:link w:val="Rodap"/>
    <w:uiPriority w:val="99"/>
    <w:rsid w:val="008F2F61"/>
  </w:style>
  <w:style w:type="paragraph" w:styleId="Pr-formataoHTML">
    <w:name w:val="HTML Preformatted"/>
    <w:basedOn w:val="Normal"/>
    <w:link w:val="Pr-formataoHTMLChar"/>
    <w:uiPriority w:val="99"/>
    <w:semiHidden/>
    <w:unhideWhenUsed/>
    <w:rsid w:val="006D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D3D4E"/>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9B27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B2741"/>
    <w:rPr>
      <w:sz w:val="20"/>
      <w:szCs w:val="20"/>
    </w:rPr>
  </w:style>
  <w:style w:type="character" w:styleId="Refdenotadefim">
    <w:name w:val="endnote reference"/>
    <w:basedOn w:val="Fontepargpadro"/>
    <w:uiPriority w:val="99"/>
    <w:semiHidden/>
    <w:unhideWhenUsed/>
    <w:rsid w:val="009B2741"/>
    <w:rPr>
      <w:vertAlign w:val="superscript"/>
    </w:rPr>
  </w:style>
  <w:style w:type="character" w:styleId="MenoPendente">
    <w:name w:val="Unresolved Mention"/>
    <w:basedOn w:val="Fontepargpadro"/>
    <w:uiPriority w:val="99"/>
    <w:semiHidden/>
    <w:unhideWhenUsed/>
    <w:rsid w:val="004F35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87">
      <w:bodyDiv w:val="1"/>
      <w:marLeft w:val="0"/>
      <w:marRight w:val="0"/>
      <w:marTop w:val="0"/>
      <w:marBottom w:val="0"/>
      <w:divBdr>
        <w:top w:val="none" w:sz="0" w:space="0" w:color="auto"/>
        <w:left w:val="none" w:sz="0" w:space="0" w:color="auto"/>
        <w:bottom w:val="none" w:sz="0" w:space="0" w:color="auto"/>
        <w:right w:val="none" w:sz="0" w:space="0" w:color="auto"/>
      </w:divBdr>
    </w:div>
    <w:div w:id="220950081">
      <w:bodyDiv w:val="1"/>
      <w:marLeft w:val="0"/>
      <w:marRight w:val="0"/>
      <w:marTop w:val="0"/>
      <w:marBottom w:val="0"/>
      <w:divBdr>
        <w:top w:val="none" w:sz="0" w:space="0" w:color="auto"/>
        <w:left w:val="none" w:sz="0" w:space="0" w:color="auto"/>
        <w:bottom w:val="none" w:sz="0" w:space="0" w:color="auto"/>
        <w:right w:val="none" w:sz="0" w:space="0" w:color="auto"/>
      </w:divBdr>
    </w:div>
    <w:div w:id="706681154">
      <w:bodyDiv w:val="1"/>
      <w:marLeft w:val="0"/>
      <w:marRight w:val="0"/>
      <w:marTop w:val="0"/>
      <w:marBottom w:val="0"/>
      <w:divBdr>
        <w:top w:val="none" w:sz="0" w:space="0" w:color="auto"/>
        <w:left w:val="none" w:sz="0" w:space="0" w:color="auto"/>
        <w:bottom w:val="none" w:sz="0" w:space="0" w:color="auto"/>
        <w:right w:val="none" w:sz="0" w:space="0" w:color="auto"/>
      </w:divBdr>
    </w:div>
    <w:div w:id="977609349">
      <w:bodyDiv w:val="1"/>
      <w:marLeft w:val="0"/>
      <w:marRight w:val="0"/>
      <w:marTop w:val="0"/>
      <w:marBottom w:val="0"/>
      <w:divBdr>
        <w:top w:val="none" w:sz="0" w:space="0" w:color="auto"/>
        <w:left w:val="none" w:sz="0" w:space="0" w:color="auto"/>
        <w:bottom w:val="none" w:sz="0" w:space="0" w:color="auto"/>
        <w:right w:val="none" w:sz="0" w:space="0" w:color="auto"/>
      </w:divBdr>
    </w:div>
    <w:div w:id="1053695858">
      <w:bodyDiv w:val="1"/>
      <w:marLeft w:val="0"/>
      <w:marRight w:val="0"/>
      <w:marTop w:val="0"/>
      <w:marBottom w:val="0"/>
      <w:divBdr>
        <w:top w:val="none" w:sz="0" w:space="0" w:color="auto"/>
        <w:left w:val="none" w:sz="0" w:space="0" w:color="auto"/>
        <w:bottom w:val="none" w:sz="0" w:space="0" w:color="auto"/>
        <w:right w:val="none" w:sz="0" w:space="0" w:color="auto"/>
      </w:divBdr>
    </w:div>
    <w:div w:id="1162432129">
      <w:bodyDiv w:val="1"/>
      <w:marLeft w:val="0"/>
      <w:marRight w:val="0"/>
      <w:marTop w:val="0"/>
      <w:marBottom w:val="0"/>
      <w:divBdr>
        <w:top w:val="none" w:sz="0" w:space="0" w:color="auto"/>
        <w:left w:val="none" w:sz="0" w:space="0" w:color="auto"/>
        <w:bottom w:val="none" w:sz="0" w:space="0" w:color="auto"/>
        <w:right w:val="none" w:sz="0" w:space="0" w:color="auto"/>
      </w:divBdr>
    </w:div>
    <w:div w:id="14715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15initiativ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tsd.org/downloads/2013/06/addressing-local-content-requirements_op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umbcelli@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3971-5CA3-4248-A214-23BA16BD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5862</Words>
  <Characters>31660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dc:creator>
  <cp:keywords/>
  <dc:description/>
  <cp:lastModifiedBy>Gabriela Brandão</cp:lastModifiedBy>
  <cp:revision>2</cp:revision>
  <dcterms:created xsi:type="dcterms:W3CDTF">2018-03-28T02:00:00Z</dcterms:created>
  <dcterms:modified xsi:type="dcterms:W3CDTF">2018-03-28T02:00:00Z</dcterms:modified>
</cp:coreProperties>
</file>