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DA" w:rsidRDefault="0001242C" w:rsidP="002074C8">
      <w:pPr>
        <w:pStyle w:val="SemEspaamento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7F2C5D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499C852F" wp14:editId="14AE4820">
            <wp:simplePos x="0" y="0"/>
            <wp:positionH relativeFrom="column">
              <wp:posOffset>-15240</wp:posOffset>
            </wp:positionH>
            <wp:positionV relativeFrom="paragraph">
              <wp:posOffset>52070</wp:posOffset>
            </wp:positionV>
            <wp:extent cx="1057275" cy="1066800"/>
            <wp:effectExtent l="0" t="0" r="952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DE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1A440" wp14:editId="28D72709">
                <wp:simplePos x="0" y="0"/>
                <wp:positionH relativeFrom="column">
                  <wp:posOffset>1042035</wp:posOffset>
                </wp:positionH>
                <wp:positionV relativeFrom="paragraph">
                  <wp:posOffset>228600</wp:posOffset>
                </wp:positionV>
                <wp:extent cx="4383405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UNIVERSIDADE DE SÃO PAULO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FACULDADE DE DIREITO</w:t>
                            </w:r>
                          </w:p>
                          <w:p w:rsidR="000B1F62" w:rsidRPr="008C7576" w:rsidRDefault="000B1F62" w:rsidP="009A6B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C757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DEPARTAMENTO DE DIREITO DO ESTADO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2.05pt;margin-top:18pt;width:34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" stroked="f">
                <v:textbox>
                  <w:txbxContent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UNIVERSIDADE DE SÃO PAULO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FACULDADE DE DIREITO</w:t>
                      </w:r>
                    </w:p>
                    <w:p w:rsidR="000B1F62" w:rsidRPr="008C7576" w:rsidRDefault="000B1F62" w:rsidP="009A6B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C757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DEPARTAMENTO DE DIREITO DO ESTADO</w:t>
                      </w:r>
                    </w:p>
                  </w:txbxContent>
                </v:textbox>
              </v:shape>
            </w:pict>
          </mc:Fallback>
        </mc:AlternateContent>
      </w:r>
    </w:p>
    <w:p w:rsidR="002074C8" w:rsidRDefault="002074C8" w:rsidP="002074C8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2074C8" w:rsidRPr="002074C8" w:rsidRDefault="002074C8" w:rsidP="002074C8">
      <w:pPr>
        <w:tabs>
          <w:tab w:val="left" w:pos="1985"/>
          <w:tab w:val="left" w:pos="3261"/>
          <w:tab w:val="left" w:pos="3686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</w:p>
    <w:p w:rsidR="00222D5B" w:rsidRPr="002074C8" w:rsidRDefault="00222D5B" w:rsidP="002074C8">
      <w:pPr>
        <w:tabs>
          <w:tab w:val="left" w:pos="1134"/>
          <w:tab w:val="left" w:pos="2552"/>
          <w:tab w:val="left" w:pos="3119"/>
        </w:tabs>
        <w:spacing w:after="0" w:line="240" w:lineRule="auto"/>
        <w:ind w:left="3119" w:hanging="3119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AULA 07</w:t>
      </w:r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</w:r>
      <w:proofErr w:type="gramStart"/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(</w:t>
      </w:r>
      <w:proofErr w:type="gramEnd"/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08.05.2018)</w:t>
      </w:r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–</w:t>
      </w:r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ab/>
        <w:t>ACORDOS REGULATÓRIOS: CASO TAC ANATEL</w:t>
      </w:r>
    </w:p>
    <w:p w:rsidR="00222D5B" w:rsidRPr="002074C8" w:rsidRDefault="00222D5B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74C8">
        <w:rPr>
          <w:rFonts w:ascii="Arial" w:hAnsi="Arial" w:cs="Arial"/>
          <w:b/>
          <w:sz w:val="20"/>
          <w:szCs w:val="20"/>
        </w:rPr>
        <w:t>Leitura Obrigatória:</w:t>
      </w:r>
    </w:p>
    <w:p w:rsidR="00222D5B" w:rsidRPr="002074C8" w:rsidRDefault="00222D5B" w:rsidP="002074C8">
      <w:pPr>
        <w:tabs>
          <w:tab w:val="left" w:pos="1985"/>
          <w:tab w:val="left" w:pos="3119"/>
          <w:tab w:val="left" w:pos="3402"/>
        </w:tabs>
        <w:spacing w:after="0" w:line="240" w:lineRule="auto"/>
        <w:ind w:left="3402" w:hanging="3402"/>
        <w:jc w:val="both"/>
        <w:rPr>
          <w:rFonts w:ascii="Arial" w:hAnsi="Arial" w:cs="Arial"/>
          <w:sz w:val="20"/>
          <w:szCs w:val="20"/>
        </w:rPr>
      </w:pPr>
      <w:r w:rsidRPr="002074C8">
        <w:rPr>
          <w:rFonts w:ascii="Arial" w:hAnsi="Arial" w:cs="Arial"/>
          <w:sz w:val="20"/>
          <w:szCs w:val="20"/>
        </w:rPr>
        <w:t>Acórdão TCU 2121/2017 (apenas voto do Ministro Bruno Dantas).</w:t>
      </w:r>
    </w:p>
    <w:p w:rsidR="00222D5B" w:rsidRPr="002074C8" w:rsidRDefault="00222D5B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074C8">
        <w:rPr>
          <w:rFonts w:ascii="Arial" w:eastAsia="Times New Roman" w:hAnsi="Arial" w:cs="Arial"/>
          <w:b/>
          <w:iCs/>
          <w:sz w:val="20"/>
          <w:szCs w:val="20"/>
          <w:lang w:eastAsia="pt-BR"/>
        </w:rPr>
        <w:t>Leitura Complementar:</w:t>
      </w:r>
    </w:p>
    <w:p w:rsidR="00222D5B" w:rsidRPr="002074C8" w:rsidRDefault="00222D5B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4C8">
        <w:rPr>
          <w:rFonts w:ascii="Arial" w:hAnsi="Arial" w:cs="Arial"/>
          <w:b/>
          <w:sz w:val="20"/>
          <w:szCs w:val="20"/>
        </w:rPr>
        <w:t>MARQUES NETO</w:t>
      </w:r>
      <w:r w:rsidRPr="002074C8">
        <w:rPr>
          <w:rFonts w:ascii="Arial" w:hAnsi="Arial" w:cs="Arial"/>
          <w:sz w:val="20"/>
          <w:szCs w:val="20"/>
        </w:rPr>
        <w:t xml:space="preserve">, Floriano de Azevedo e </w:t>
      </w:r>
      <w:r w:rsidRPr="002074C8">
        <w:rPr>
          <w:rFonts w:ascii="Arial" w:hAnsi="Arial" w:cs="Arial"/>
          <w:b/>
          <w:sz w:val="20"/>
          <w:szCs w:val="20"/>
        </w:rPr>
        <w:t>PALMA</w:t>
      </w:r>
      <w:r w:rsidRPr="002074C8">
        <w:rPr>
          <w:rFonts w:ascii="Arial" w:hAnsi="Arial" w:cs="Arial"/>
          <w:sz w:val="20"/>
          <w:szCs w:val="20"/>
        </w:rPr>
        <w:t xml:space="preserve">, Juliana </w:t>
      </w:r>
      <w:proofErr w:type="spellStart"/>
      <w:r w:rsidRPr="002074C8">
        <w:rPr>
          <w:rFonts w:ascii="Arial" w:hAnsi="Arial" w:cs="Arial"/>
          <w:sz w:val="20"/>
          <w:szCs w:val="20"/>
        </w:rPr>
        <w:t>Bonacorsi</w:t>
      </w:r>
      <w:proofErr w:type="spellEnd"/>
      <w:r w:rsidRPr="002074C8">
        <w:rPr>
          <w:rFonts w:ascii="Arial" w:hAnsi="Arial" w:cs="Arial"/>
          <w:sz w:val="20"/>
          <w:szCs w:val="20"/>
        </w:rPr>
        <w:t xml:space="preserve"> de. </w:t>
      </w:r>
      <w:r w:rsidRPr="002074C8">
        <w:rPr>
          <w:rFonts w:ascii="Arial" w:hAnsi="Arial" w:cs="Arial"/>
          <w:b/>
          <w:i/>
          <w:sz w:val="20"/>
          <w:szCs w:val="20"/>
        </w:rPr>
        <w:t>Juridicidade e Controle dos Acordos Regulatórios: O Caso TAC ANATEL</w:t>
      </w:r>
      <w:r w:rsidRPr="002074C8">
        <w:rPr>
          <w:rFonts w:ascii="Arial" w:hAnsi="Arial" w:cs="Arial"/>
          <w:sz w:val="20"/>
          <w:szCs w:val="20"/>
        </w:rPr>
        <w:t xml:space="preserve"> (no prelo – disponível no </w:t>
      </w:r>
      <w:proofErr w:type="spellStart"/>
      <w:r w:rsidRPr="002074C8">
        <w:rPr>
          <w:rFonts w:ascii="Arial" w:hAnsi="Arial" w:cs="Arial"/>
          <w:sz w:val="20"/>
          <w:szCs w:val="20"/>
        </w:rPr>
        <w:t>Moodle</w:t>
      </w:r>
      <w:proofErr w:type="spellEnd"/>
      <w:r w:rsidRPr="002074C8">
        <w:rPr>
          <w:rFonts w:ascii="Arial" w:hAnsi="Arial" w:cs="Arial"/>
          <w:sz w:val="20"/>
          <w:szCs w:val="20"/>
        </w:rPr>
        <w:t>).</w:t>
      </w:r>
    </w:p>
    <w:p w:rsidR="00222D5B" w:rsidRPr="002074C8" w:rsidRDefault="00222D5B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4C8">
        <w:rPr>
          <w:rFonts w:ascii="Arial" w:hAnsi="Arial" w:cs="Arial"/>
          <w:sz w:val="20"/>
          <w:szCs w:val="20"/>
        </w:rPr>
        <w:t>Acórdão TCU 2121/2017 (integral).</w:t>
      </w:r>
    </w:p>
    <w:p w:rsidR="00222D5B" w:rsidRPr="002074C8" w:rsidRDefault="00222D5B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74C8">
        <w:rPr>
          <w:rFonts w:ascii="Arial" w:hAnsi="Arial" w:cs="Arial"/>
          <w:sz w:val="20"/>
          <w:szCs w:val="20"/>
        </w:rPr>
        <w:t xml:space="preserve">Relatório da unidade técnica do TCU no caso (disponível no </w:t>
      </w:r>
      <w:proofErr w:type="spellStart"/>
      <w:r w:rsidRPr="002074C8">
        <w:rPr>
          <w:rFonts w:ascii="Arial" w:hAnsi="Arial" w:cs="Arial"/>
          <w:sz w:val="20"/>
          <w:szCs w:val="20"/>
        </w:rPr>
        <w:t>Moodle</w:t>
      </w:r>
      <w:proofErr w:type="spellEnd"/>
      <w:r w:rsidRPr="002074C8">
        <w:rPr>
          <w:rFonts w:ascii="Arial" w:hAnsi="Arial" w:cs="Arial"/>
          <w:sz w:val="20"/>
          <w:szCs w:val="20"/>
        </w:rPr>
        <w:t>).</w:t>
      </w:r>
    </w:p>
    <w:p w:rsidR="00996851" w:rsidRDefault="00996851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74C8" w:rsidRPr="002074C8" w:rsidRDefault="002074C8" w:rsidP="002074C8">
      <w:pPr>
        <w:tabs>
          <w:tab w:val="left" w:pos="1985"/>
          <w:tab w:val="left" w:pos="311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851" w:rsidRPr="002074C8" w:rsidRDefault="00996851" w:rsidP="00700ED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Pr="00A918BD">
        <w:rPr>
          <w:rFonts w:ascii="Arial" w:hAnsi="Arial" w:cs="Arial"/>
          <w:i/>
          <w:sz w:val="20"/>
          <w:szCs w:val="20"/>
        </w:rPr>
        <w:t>Caso TAC ANATEL</w:t>
      </w:r>
      <w:r>
        <w:rPr>
          <w:rFonts w:ascii="Arial" w:hAnsi="Arial" w:cs="Arial"/>
          <w:sz w:val="20"/>
          <w:szCs w:val="20"/>
        </w:rPr>
        <w:t xml:space="preserve"> corresponde à decisão </w:t>
      </w:r>
      <w:proofErr w:type="gramStart"/>
      <w:r>
        <w:rPr>
          <w:rFonts w:ascii="Arial" w:hAnsi="Arial" w:cs="Arial"/>
          <w:sz w:val="20"/>
          <w:szCs w:val="20"/>
        </w:rPr>
        <w:t>controladora pelo TCU do TAC bilionário celebrado</w:t>
      </w:r>
      <w:proofErr w:type="gramEnd"/>
      <w:r>
        <w:rPr>
          <w:rFonts w:ascii="Arial" w:hAnsi="Arial" w:cs="Arial"/>
          <w:sz w:val="20"/>
          <w:szCs w:val="20"/>
        </w:rPr>
        <w:t xml:space="preserve"> entre ANATEL e a empresa regulada Telefônica. Essa foi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primeira oportunidade de manifestação do TCU sobre a juridicidade dos acordos regulatórios – um posicionamento desfavorável ao instrumento poderia não apenas inviabilizar a troca de multas por investimentos no setor de telecomunicações, mas colocar em risco todos os demais instrumentos consensuais hoje em uso pelo Poder Público. Ao ler o voto do Min. Bruno Dantas, procure endereçar os seguintes pontos:</w:t>
      </w:r>
    </w:p>
    <w:p w:rsidR="00700ED1" w:rsidRDefault="00700ED1" w:rsidP="00700ED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1843"/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é, afinal de contas, um TAC? Um contrato? Um ato regulamentar? Que competências e capacidades estão em jogo no TAC? Ele é unilateral, bilateral ou multilateral? Uma vez firmado, pode ser alterado unilateralmente? Como se pensar em discricionariedade e vinculação diante da ideia de TAC?</w:t>
      </w: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Pr="00C31766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Como o TCU legitimou sua própria competência para controlar o TAC da Telefônica? Ele pode se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auto-atribuir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competências? Em que medida o </w:t>
      </w:r>
      <w:r>
        <w:rPr>
          <w:rFonts w:ascii="Arial" w:hAnsi="Arial" w:cs="Arial"/>
          <w:i/>
          <w:sz w:val="20"/>
          <w:szCs w:val="20"/>
        </w:rPr>
        <w:t>ônus da competência</w:t>
      </w:r>
      <w:r>
        <w:rPr>
          <w:rFonts w:ascii="Arial" w:hAnsi="Arial" w:cs="Arial"/>
          <w:sz w:val="20"/>
          <w:szCs w:val="20"/>
        </w:rPr>
        <w:t xml:space="preserve"> foi suficiente para justificar o poder de controle do TCU na atuação consensual das Agências Reguladoras?</w:t>
      </w: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Pr="00D05CC4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3</w:t>
      </w:r>
      <w:r w:rsidRPr="00700ED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Quais foram os pontos examinados pelo TCU na decisão? Como se deu a decisão em cada um desses pontos? Há tópicos não considerados que deveriam ter integrado a decisão? Qual é a sua avaliação crítica sobre o modo de decidir do TCU?</w:t>
      </w: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4</w:t>
      </w:r>
      <w:r w:rsidRPr="00700ED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Quais são os interesses em jogo na celebração do TAC? Em que medida o TAC firmado se mostra interessante para a empresa regulada? E para a ANATEL? Ela pode deixar de aplicar sanções? Quais são as externalidades e incentivos decorrentes da celebração deste acordo?</w:t>
      </w: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Pr="00C31766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5</w:t>
      </w:r>
      <w:r w:rsidRPr="00700ED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 que é um precedente? </w:t>
      </w:r>
      <w:r>
        <w:rPr>
          <w:rFonts w:ascii="Arial" w:hAnsi="Arial" w:cs="Arial"/>
          <w:sz w:val="20"/>
          <w:szCs w:val="20"/>
        </w:rPr>
        <w:t>Em que medida o Acórdão 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º 2121/2017 pode ser apontado como um precedente na jurisprudência do TCU? Estaria o TCU vinculado ao julgado? Qual é a </w:t>
      </w:r>
      <w:proofErr w:type="spellStart"/>
      <w:r>
        <w:rPr>
          <w:rFonts w:ascii="Arial" w:hAnsi="Arial" w:cs="Arial"/>
          <w:i/>
          <w:sz w:val="20"/>
          <w:szCs w:val="20"/>
        </w:rPr>
        <w:t>ratio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decidendi</w:t>
      </w:r>
      <w:proofErr w:type="spellEnd"/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 são as linhas de orientação que dele decorrem?</w:t>
      </w: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00ED1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96851" w:rsidRPr="002074C8" w:rsidRDefault="00700ED1" w:rsidP="00700ED1">
      <w:pPr>
        <w:tabs>
          <w:tab w:val="left" w:pos="567"/>
          <w:tab w:val="left" w:pos="1843"/>
          <w:tab w:val="left" w:pos="2127"/>
        </w:tabs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00ED1">
        <w:rPr>
          <w:rFonts w:ascii="Arial" w:hAnsi="Arial" w:cs="Arial"/>
          <w:b/>
          <w:i/>
          <w:sz w:val="20"/>
          <w:szCs w:val="20"/>
        </w:rPr>
        <w:t>6</w:t>
      </w:r>
      <w:r w:rsidRPr="00700ED1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Posicione-se sobre a juridicidade dos acordos regulatórios: trata-se de um instrumento regulatório compatível com o regime constitucional e legal brasileiro?</w:t>
      </w:r>
    </w:p>
    <w:sectPr w:rsidR="00996851" w:rsidRPr="002074C8" w:rsidSect="00F91E2D">
      <w:headerReference w:type="default" r:id="rId10"/>
      <w:footerReference w:type="default" r:id="rId11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6D" w:rsidRDefault="005A126D" w:rsidP="009A6B3D">
      <w:pPr>
        <w:spacing w:after="0" w:line="240" w:lineRule="auto"/>
      </w:pPr>
      <w:r>
        <w:separator/>
      </w:r>
    </w:p>
  </w:endnote>
  <w:endnote w:type="continuationSeparator" w:id="0">
    <w:p w:rsidR="005A126D" w:rsidRDefault="005A126D" w:rsidP="009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D0" w:rsidRPr="00B11193" w:rsidRDefault="00954CD0">
    <w:pPr>
      <w:pStyle w:val="Rodap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6D" w:rsidRDefault="005A126D" w:rsidP="009A6B3D">
      <w:pPr>
        <w:spacing w:after="0" w:line="240" w:lineRule="auto"/>
      </w:pPr>
      <w:r>
        <w:separator/>
      </w:r>
    </w:p>
  </w:footnote>
  <w:footnote w:type="continuationSeparator" w:id="0">
    <w:p w:rsidR="005A126D" w:rsidRDefault="005A126D" w:rsidP="009A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CF" w:rsidRPr="00F91E2D" w:rsidRDefault="00F91E2D" w:rsidP="003945DA">
    <w:pPr>
      <w:pStyle w:val="Cabealho"/>
      <w:spacing w:after="0"/>
      <w:rPr>
        <w:rFonts w:ascii="Arial" w:hAnsi="Arial" w:cs="Arial"/>
        <w:b/>
        <w:i/>
        <w:iCs/>
        <w:sz w:val="16"/>
        <w:szCs w:val="16"/>
        <w:lang w:val="pt-BR"/>
      </w:rPr>
    </w:pPr>
    <w:r w:rsidRPr="00F91E2D">
      <w:rPr>
        <w:rFonts w:ascii="Arial" w:hAnsi="Arial" w:cs="Arial"/>
        <w:b/>
        <w:i/>
        <w:iCs/>
        <w:sz w:val="16"/>
        <w:szCs w:val="16"/>
      </w:rPr>
      <w:t xml:space="preserve">ESTUDO DIRIGIDO – </w:t>
    </w:r>
    <w:r w:rsidRPr="00F91E2D">
      <w:rPr>
        <w:rFonts w:ascii="Arial" w:hAnsi="Arial" w:cs="Arial"/>
        <w:b/>
        <w:i/>
        <w:iCs/>
        <w:sz w:val="16"/>
        <w:szCs w:val="16"/>
        <w:lang w:val="pt-BR"/>
      </w:rPr>
      <w:t>AULA 07 – CASO TAC ANATEL</w:t>
    </w:r>
  </w:p>
  <w:p w:rsidR="00954CD0" w:rsidRPr="0018466D" w:rsidRDefault="00700ED1" w:rsidP="009A6B3D">
    <w:pPr>
      <w:pStyle w:val="Cabealho"/>
      <w:spacing w:after="0"/>
      <w:jc w:val="center"/>
      <w:rPr>
        <w:rFonts w:ascii="Times New Roman" w:hAnsi="Times New Roman"/>
        <w:i/>
        <w:iCs/>
        <w:sz w:val="20"/>
        <w:szCs w:val="20"/>
      </w:rPr>
    </w:pPr>
    <w:r>
      <w:rPr>
        <w:rFonts w:ascii="Arial" w:hAnsi="Arial" w:cs="Arial"/>
        <w:b/>
        <w:i/>
        <w:iCs/>
        <w:sz w:val="16"/>
        <w:szCs w:val="1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ACE"/>
    <w:multiLevelType w:val="hybridMultilevel"/>
    <w:tmpl w:val="F0F0D160"/>
    <w:lvl w:ilvl="0" w:tplc="53BA5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36A486" w:tentative="1">
      <w:start w:val="1"/>
      <w:numFmt w:val="lowerLetter"/>
      <w:lvlText w:val="%2."/>
      <w:lvlJc w:val="left"/>
      <w:pPr>
        <w:ind w:left="1440" w:hanging="360"/>
      </w:pPr>
    </w:lvl>
    <w:lvl w:ilvl="2" w:tplc="4E966722" w:tentative="1">
      <w:start w:val="1"/>
      <w:numFmt w:val="lowerRoman"/>
      <w:lvlText w:val="%3."/>
      <w:lvlJc w:val="right"/>
      <w:pPr>
        <w:ind w:left="2160" w:hanging="180"/>
      </w:pPr>
    </w:lvl>
    <w:lvl w:ilvl="3" w:tplc="F0D853D8" w:tentative="1">
      <w:start w:val="1"/>
      <w:numFmt w:val="decimal"/>
      <w:lvlText w:val="%4."/>
      <w:lvlJc w:val="left"/>
      <w:pPr>
        <w:ind w:left="2880" w:hanging="360"/>
      </w:pPr>
    </w:lvl>
    <w:lvl w:ilvl="4" w:tplc="FB78D578" w:tentative="1">
      <w:start w:val="1"/>
      <w:numFmt w:val="lowerLetter"/>
      <w:lvlText w:val="%5."/>
      <w:lvlJc w:val="left"/>
      <w:pPr>
        <w:ind w:left="3600" w:hanging="360"/>
      </w:pPr>
    </w:lvl>
    <w:lvl w:ilvl="5" w:tplc="0B285FDE" w:tentative="1">
      <w:start w:val="1"/>
      <w:numFmt w:val="lowerRoman"/>
      <w:lvlText w:val="%6."/>
      <w:lvlJc w:val="right"/>
      <w:pPr>
        <w:ind w:left="4320" w:hanging="180"/>
      </w:pPr>
    </w:lvl>
    <w:lvl w:ilvl="6" w:tplc="23CCBC4E" w:tentative="1">
      <w:start w:val="1"/>
      <w:numFmt w:val="decimal"/>
      <w:lvlText w:val="%7."/>
      <w:lvlJc w:val="left"/>
      <w:pPr>
        <w:ind w:left="5040" w:hanging="360"/>
      </w:pPr>
    </w:lvl>
    <w:lvl w:ilvl="7" w:tplc="9D2AEE5C" w:tentative="1">
      <w:start w:val="1"/>
      <w:numFmt w:val="lowerLetter"/>
      <w:lvlText w:val="%8."/>
      <w:lvlJc w:val="left"/>
      <w:pPr>
        <w:ind w:left="5760" w:hanging="360"/>
      </w:pPr>
    </w:lvl>
    <w:lvl w:ilvl="8" w:tplc="C5666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1F7D"/>
    <w:multiLevelType w:val="hybridMultilevel"/>
    <w:tmpl w:val="51909C38"/>
    <w:lvl w:ilvl="0" w:tplc="AA609B8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B5AEE"/>
    <w:multiLevelType w:val="hybridMultilevel"/>
    <w:tmpl w:val="0AE8B422"/>
    <w:lvl w:ilvl="0" w:tplc="5C327E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856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31E9A6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4CE3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F686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5B4F4B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9624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E27F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312E0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3A3B63"/>
    <w:multiLevelType w:val="hybridMultilevel"/>
    <w:tmpl w:val="999C6C5C"/>
    <w:lvl w:ilvl="0" w:tplc="7CE6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24A4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C4602E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1E1E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38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9C27D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D4DA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D226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716C6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533446"/>
    <w:multiLevelType w:val="hybridMultilevel"/>
    <w:tmpl w:val="D2A6A716"/>
    <w:lvl w:ilvl="0" w:tplc="56E87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42C05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90670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59EF6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9650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B3F68A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C222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23A65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56E89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D7B650F"/>
    <w:multiLevelType w:val="hybridMultilevel"/>
    <w:tmpl w:val="733C2DF0"/>
    <w:lvl w:ilvl="0" w:tplc="0C3EF30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E41CF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74EE6B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7147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B68C65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8E9A51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54CB44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AC37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214CD8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134361E"/>
    <w:multiLevelType w:val="hybridMultilevel"/>
    <w:tmpl w:val="06205408"/>
    <w:lvl w:ilvl="0" w:tplc="F9D2A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3B0C5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4BBCC0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F5CA6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C7E0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274005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4A1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DE6F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305E07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BA76EA"/>
    <w:multiLevelType w:val="hybridMultilevel"/>
    <w:tmpl w:val="9740075C"/>
    <w:lvl w:ilvl="0" w:tplc="4C606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1A05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894E9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F85A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A883F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4E278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68A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5611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9D6503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3852457"/>
    <w:multiLevelType w:val="hybridMultilevel"/>
    <w:tmpl w:val="40CC2290"/>
    <w:lvl w:ilvl="0" w:tplc="936E8BD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5403B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C5E67D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3AE4D5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DBCC72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C600A3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11E20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CDCC2A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31E8F9A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71615E"/>
    <w:multiLevelType w:val="hybridMultilevel"/>
    <w:tmpl w:val="22CC6856"/>
    <w:lvl w:ilvl="0" w:tplc="69D8E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AC85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E4CE41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E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9C49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E0B659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BEAA6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BC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B8A2C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D62817"/>
    <w:multiLevelType w:val="hybridMultilevel"/>
    <w:tmpl w:val="B410739E"/>
    <w:lvl w:ilvl="0" w:tplc="8F5AD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DC42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B69E65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9600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71240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DDAAE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9ABE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01D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85D6C7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DC1213"/>
    <w:multiLevelType w:val="hybridMultilevel"/>
    <w:tmpl w:val="3FCABB3A"/>
    <w:lvl w:ilvl="0" w:tplc="44A27A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94D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53028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B44B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B685C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66821DF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743E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ACCB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C39020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B037654"/>
    <w:multiLevelType w:val="hybridMultilevel"/>
    <w:tmpl w:val="2AAA2566"/>
    <w:lvl w:ilvl="0" w:tplc="BF664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5D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960F8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964A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7A098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8C07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640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65E7D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A1A272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E"/>
    <w:rsid w:val="00011F64"/>
    <w:rsid w:val="0001242C"/>
    <w:rsid w:val="000148F1"/>
    <w:rsid w:val="000250D4"/>
    <w:rsid w:val="00026EA1"/>
    <w:rsid w:val="00032DA4"/>
    <w:rsid w:val="000368A6"/>
    <w:rsid w:val="00040328"/>
    <w:rsid w:val="00050D05"/>
    <w:rsid w:val="00050F53"/>
    <w:rsid w:val="00062571"/>
    <w:rsid w:val="0006628B"/>
    <w:rsid w:val="00072E5F"/>
    <w:rsid w:val="000A17FC"/>
    <w:rsid w:val="000A732F"/>
    <w:rsid w:val="000B1F62"/>
    <w:rsid w:val="000B38DF"/>
    <w:rsid w:val="000B47D8"/>
    <w:rsid w:val="000D39C1"/>
    <w:rsid w:val="000D3B84"/>
    <w:rsid w:val="000E733F"/>
    <w:rsid w:val="000F380C"/>
    <w:rsid w:val="001116B2"/>
    <w:rsid w:val="00114000"/>
    <w:rsid w:val="001178CB"/>
    <w:rsid w:val="001428CC"/>
    <w:rsid w:val="00145701"/>
    <w:rsid w:val="00160B3B"/>
    <w:rsid w:val="001727C2"/>
    <w:rsid w:val="00176A8C"/>
    <w:rsid w:val="001A1D5E"/>
    <w:rsid w:val="001A2C3E"/>
    <w:rsid w:val="001B52C4"/>
    <w:rsid w:val="001C0E3D"/>
    <w:rsid w:val="001F1BFC"/>
    <w:rsid w:val="002074C8"/>
    <w:rsid w:val="00221DFC"/>
    <w:rsid w:val="00222D5B"/>
    <w:rsid w:val="00230242"/>
    <w:rsid w:val="00231660"/>
    <w:rsid w:val="00246C45"/>
    <w:rsid w:val="00281AA4"/>
    <w:rsid w:val="002B36C3"/>
    <w:rsid w:val="002B6FC6"/>
    <w:rsid w:val="002B7350"/>
    <w:rsid w:val="002D6789"/>
    <w:rsid w:val="002F294B"/>
    <w:rsid w:val="00314962"/>
    <w:rsid w:val="003600D4"/>
    <w:rsid w:val="0039065B"/>
    <w:rsid w:val="003945DA"/>
    <w:rsid w:val="003A53D3"/>
    <w:rsid w:val="003C5724"/>
    <w:rsid w:val="003D4125"/>
    <w:rsid w:val="00403AE1"/>
    <w:rsid w:val="00403FB1"/>
    <w:rsid w:val="004051EE"/>
    <w:rsid w:val="00416774"/>
    <w:rsid w:val="004239EE"/>
    <w:rsid w:val="00427E0B"/>
    <w:rsid w:val="00446FE0"/>
    <w:rsid w:val="00447FB8"/>
    <w:rsid w:val="00450548"/>
    <w:rsid w:val="00462E96"/>
    <w:rsid w:val="00466F2E"/>
    <w:rsid w:val="00470B8B"/>
    <w:rsid w:val="00472C2C"/>
    <w:rsid w:val="00490944"/>
    <w:rsid w:val="004B5176"/>
    <w:rsid w:val="004D3B70"/>
    <w:rsid w:val="004E1046"/>
    <w:rsid w:val="004E50AD"/>
    <w:rsid w:val="004E5B80"/>
    <w:rsid w:val="004E623A"/>
    <w:rsid w:val="004E66CF"/>
    <w:rsid w:val="004F66C9"/>
    <w:rsid w:val="00506849"/>
    <w:rsid w:val="00513817"/>
    <w:rsid w:val="00516270"/>
    <w:rsid w:val="005623D2"/>
    <w:rsid w:val="005757D3"/>
    <w:rsid w:val="00597CAD"/>
    <w:rsid w:val="005A126D"/>
    <w:rsid w:val="005B0C54"/>
    <w:rsid w:val="005B2F02"/>
    <w:rsid w:val="005B4363"/>
    <w:rsid w:val="005C0C3F"/>
    <w:rsid w:val="005C5224"/>
    <w:rsid w:val="005F0526"/>
    <w:rsid w:val="005F4BCC"/>
    <w:rsid w:val="00610D26"/>
    <w:rsid w:val="00617CC0"/>
    <w:rsid w:val="0062320E"/>
    <w:rsid w:val="006258C8"/>
    <w:rsid w:val="006438EB"/>
    <w:rsid w:val="00651F21"/>
    <w:rsid w:val="00655FDA"/>
    <w:rsid w:val="0066227F"/>
    <w:rsid w:val="00672D8B"/>
    <w:rsid w:val="00694DA4"/>
    <w:rsid w:val="006A3CA5"/>
    <w:rsid w:val="006B23A6"/>
    <w:rsid w:val="006B7752"/>
    <w:rsid w:val="006C2871"/>
    <w:rsid w:val="006C5480"/>
    <w:rsid w:val="006D6FE8"/>
    <w:rsid w:val="006E1059"/>
    <w:rsid w:val="007004F9"/>
    <w:rsid w:val="00700ED1"/>
    <w:rsid w:val="00705136"/>
    <w:rsid w:val="007225AA"/>
    <w:rsid w:val="007245DE"/>
    <w:rsid w:val="0072770C"/>
    <w:rsid w:val="00732912"/>
    <w:rsid w:val="007568D7"/>
    <w:rsid w:val="007619DA"/>
    <w:rsid w:val="00765C1F"/>
    <w:rsid w:val="00781190"/>
    <w:rsid w:val="007876F4"/>
    <w:rsid w:val="007A11E5"/>
    <w:rsid w:val="007A30A1"/>
    <w:rsid w:val="007A3796"/>
    <w:rsid w:val="007B22B3"/>
    <w:rsid w:val="007B6181"/>
    <w:rsid w:val="007B6BBD"/>
    <w:rsid w:val="007C3818"/>
    <w:rsid w:val="007E2EF1"/>
    <w:rsid w:val="007F78E8"/>
    <w:rsid w:val="00810A03"/>
    <w:rsid w:val="00812411"/>
    <w:rsid w:val="008143BD"/>
    <w:rsid w:val="008206B2"/>
    <w:rsid w:val="00842D0B"/>
    <w:rsid w:val="00867F62"/>
    <w:rsid w:val="00882D48"/>
    <w:rsid w:val="008841AF"/>
    <w:rsid w:val="008914E4"/>
    <w:rsid w:val="00892BEE"/>
    <w:rsid w:val="00893B27"/>
    <w:rsid w:val="008A23CC"/>
    <w:rsid w:val="008C021A"/>
    <w:rsid w:val="008C2766"/>
    <w:rsid w:val="008C69C8"/>
    <w:rsid w:val="008C7036"/>
    <w:rsid w:val="008D343A"/>
    <w:rsid w:val="008E0785"/>
    <w:rsid w:val="008E29C0"/>
    <w:rsid w:val="008E6489"/>
    <w:rsid w:val="008F0CDF"/>
    <w:rsid w:val="009127C3"/>
    <w:rsid w:val="009339A3"/>
    <w:rsid w:val="00940D70"/>
    <w:rsid w:val="00941561"/>
    <w:rsid w:val="00943CE5"/>
    <w:rsid w:val="0095240C"/>
    <w:rsid w:val="00954CD0"/>
    <w:rsid w:val="00960C40"/>
    <w:rsid w:val="009703D2"/>
    <w:rsid w:val="00981ACB"/>
    <w:rsid w:val="00990566"/>
    <w:rsid w:val="0099175B"/>
    <w:rsid w:val="009949C3"/>
    <w:rsid w:val="00995FA7"/>
    <w:rsid w:val="00996851"/>
    <w:rsid w:val="009A1E86"/>
    <w:rsid w:val="009A504B"/>
    <w:rsid w:val="009A6B3D"/>
    <w:rsid w:val="009B1554"/>
    <w:rsid w:val="009D3E0D"/>
    <w:rsid w:val="009D43BE"/>
    <w:rsid w:val="009D6AAB"/>
    <w:rsid w:val="009F457C"/>
    <w:rsid w:val="00A228B5"/>
    <w:rsid w:val="00A37DEF"/>
    <w:rsid w:val="00A42A4B"/>
    <w:rsid w:val="00A56F8E"/>
    <w:rsid w:val="00A918BD"/>
    <w:rsid w:val="00AB1814"/>
    <w:rsid w:val="00AB4ED7"/>
    <w:rsid w:val="00AC1ACC"/>
    <w:rsid w:val="00AC5479"/>
    <w:rsid w:val="00AD19B7"/>
    <w:rsid w:val="00AD4233"/>
    <w:rsid w:val="00AF13DC"/>
    <w:rsid w:val="00AF1BD5"/>
    <w:rsid w:val="00B13628"/>
    <w:rsid w:val="00B14907"/>
    <w:rsid w:val="00B269E9"/>
    <w:rsid w:val="00B530B7"/>
    <w:rsid w:val="00B53B48"/>
    <w:rsid w:val="00B7044F"/>
    <w:rsid w:val="00B7054B"/>
    <w:rsid w:val="00B70D35"/>
    <w:rsid w:val="00B735EE"/>
    <w:rsid w:val="00B95839"/>
    <w:rsid w:val="00BB308C"/>
    <w:rsid w:val="00BC2DFE"/>
    <w:rsid w:val="00C15AFC"/>
    <w:rsid w:val="00C15DE5"/>
    <w:rsid w:val="00C26FC1"/>
    <w:rsid w:val="00C31766"/>
    <w:rsid w:val="00C330E1"/>
    <w:rsid w:val="00C45B47"/>
    <w:rsid w:val="00C47553"/>
    <w:rsid w:val="00C57421"/>
    <w:rsid w:val="00C6060E"/>
    <w:rsid w:val="00C67A00"/>
    <w:rsid w:val="00C72DEE"/>
    <w:rsid w:val="00C7462E"/>
    <w:rsid w:val="00C87B56"/>
    <w:rsid w:val="00C91934"/>
    <w:rsid w:val="00C94B8C"/>
    <w:rsid w:val="00CA4130"/>
    <w:rsid w:val="00CB43D1"/>
    <w:rsid w:val="00CB5621"/>
    <w:rsid w:val="00CC13FE"/>
    <w:rsid w:val="00CD27BD"/>
    <w:rsid w:val="00CE2173"/>
    <w:rsid w:val="00D01756"/>
    <w:rsid w:val="00D02306"/>
    <w:rsid w:val="00D05CC4"/>
    <w:rsid w:val="00D1089E"/>
    <w:rsid w:val="00D238B1"/>
    <w:rsid w:val="00D43E97"/>
    <w:rsid w:val="00D445FB"/>
    <w:rsid w:val="00D4794F"/>
    <w:rsid w:val="00D753A2"/>
    <w:rsid w:val="00D803C6"/>
    <w:rsid w:val="00D93CD7"/>
    <w:rsid w:val="00D97DC1"/>
    <w:rsid w:val="00DA6104"/>
    <w:rsid w:val="00DB790A"/>
    <w:rsid w:val="00DD033E"/>
    <w:rsid w:val="00DF127A"/>
    <w:rsid w:val="00E14B9B"/>
    <w:rsid w:val="00E208BE"/>
    <w:rsid w:val="00E305AF"/>
    <w:rsid w:val="00E34918"/>
    <w:rsid w:val="00E35D63"/>
    <w:rsid w:val="00E478AC"/>
    <w:rsid w:val="00E55172"/>
    <w:rsid w:val="00E64222"/>
    <w:rsid w:val="00E66EDA"/>
    <w:rsid w:val="00E774B5"/>
    <w:rsid w:val="00E77F5B"/>
    <w:rsid w:val="00E805EB"/>
    <w:rsid w:val="00E97E21"/>
    <w:rsid w:val="00EA726F"/>
    <w:rsid w:val="00EB1394"/>
    <w:rsid w:val="00EB5553"/>
    <w:rsid w:val="00EC371C"/>
    <w:rsid w:val="00ED2645"/>
    <w:rsid w:val="00EE4408"/>
    <w:rsid w:val="00F046EF"/>
    <w:rsid w:val="00F053D7"/>
    <w:rsid w:val="00F412BE"/>
    <w:rsid w:val="00F508F9"/>
    <w:rsid w:val="00F571BF"/>
    <w:rsid w:val="00F57FD0"/>
    <w:rsid w:val="00F91E2D"/>
    <w:rsid w:val="00FA3568"/>
    <w:rsid w:val="00FC6AD4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SemEspaamento">
    <w:name w:val="No Spacing"/>
    <w:uiPriority w:val="1"/>
    <w:qFormat/>
    <w:rsid w:val="00F91E2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9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005C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005C4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005C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C7CCC"/>
    <w:rPr>
      <w:color w:val="0000FF"/>
      <w:u w:val="single"/>
    </w:rPr>
  </w:style>
  <w:style w:type="character" w:styleId="nfase">
    <w:name w:val="Emphasis"/>
    <w:uiPriority w:val="20"/>
    <w:qFormat/>
    <w:rsid w:val="002C7CCC"/>
    <w:rPr>
      <w:i/>
      <w:iCs/>
    </w:rPr>
  </w:style>
  <w:style w:type="character" w:styleId="Refdecomentrio">
    <w:name w:val="annotation reference"/>
    <w:uiPriority w:val="99"/>
    <w:semiHidden/>
    <w:unhideWhenUsed/>
    <w:rsid w:val="00C417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726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C417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72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1726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C41726"/>
    <w:rPr>
      <w:rFonts w:ascii="Tahoma" w:hAnsi="Tahoma" w:cs="Tahoma"/>
      <w:sz w:val="16"/>
      <w:szCs w:val="16"/>
      <w:lang w:eastAsia="en-US"/>
    </w:rPr>
  </w:style>
  <w:style w:type="paragraph" w:customStyle="1" w:styleId="Floriano">
    <w:name w:val="Floriano"/>
    <w:basedOn w:val="Normal"/>
    <w:rsid w:val="00615C16"/>
    <w:pPr>
      <w:widowControl w:val="0"/>
      <w:tabs>
        <w:tab w:val="left" w:pos="3402"/>
      </w:tabs>
      <w:spacing w:before="120" w:after="240" w:line="480" w:lineRule="auto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pt-BR"/>
    </w:rPr>
  </w:style>
  <w:style w:type="character" w:customStyle="1" w:styleId="apple-converted-space">
    <w:name w:val="apple-converted-space"/>
    <w:rsid w:val="006C2871"/>
  </w:style>
  <w:style w:type="character" w:customStyle="1" w:styleId="zmsearchresult">
    <w:name w:val="zmsearchresult"/>
    <w:rsid w:val="006C2871"/>
  </w:style>
  <w:style w:type="table" w:styleId="Tabelacomgrade">
    <w:name w:val="Table Grid"/>
    <w:basedOn w:val="Tabelanormal"/>
    <w:uiPriority w:val="59"/>
    <w:rsid w:val="0005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330E1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330E1"/>
    <w:rPr>
      <w:sz w:val="24"/>
      <w:szCs w:val="24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C330E1"/>
    <w:rPr>
      <w:vertAlign w:val="superscript"/>
    </w:rPr>
  </w:style>
  <w:style w:type="paragraph" w:styleId="SemEspaamento">
    <w:name w:val="No Spacing"/>
    <w:uiPriority w:val="1"/>
    <w:qFormat/>
    <w:rsid w:val="00F91E2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9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F737-28AC-4A75-A125-189F1AC7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Oswaldo Mattos Filho</dc:creator>
  <cp:lastModifiedBy>Isabel Cristina Fernandes Bossato</cp:lastModifiedBy>
  <cp:revision>8</cp:revision>
  <cp:lastPrinted>2018-03-05T19:47:00Z</cp:lastPrinted>
  <dcterms:created xsi:type="dcterms:W3CDTF">2018-03-01T16:57:00Z</dcterms:created>
  <dcterms:modified xsi:type="dcterms:W3CDTF">2018-03-20T15:44:00Z</dcterms:modified>
</cp:coreProperties>
</file>