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DE SÃO PAULO</w:t>
      </w:r>
    </w:p>
    <w:p w:rsidR="00000000" w:rsidDel="00000000" w:rsidP="00000000" w:rsidRDefault="00000000" w:rsidRPr="00000000" w14:paraId="00000001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ESCOLA DE COMUNICAÇÕES E ARTES</w:t>
      </w:r>
    </w:p>
    <w:p w:rsidR="00000000" w:rsidDel="00000000" w:rsidP="00000000" w:rsidRDefault="00000000" w:rsidRPr="00000000" w14:paraId="00000002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DEPARTAMENTO DE COMUNICAÇÕES E ARTES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LICENCIATURA EM EDUCOMUNICAÇÃO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Disciplina: Gestão da Comunicação nos Espaços Educativos com Estágio Supervisionado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Código CCA-0307 - 1º. Semestre de 2018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Professora Cláudia Lago (Adaptação de documento de CCA-0319 - Prof. Claudemir Viana).</w:t>
      </w:r>
    </w:p>
    <w:p w:rsidR="00000000" w:rsidDel="00000000" w:rsidP="00000000" w:rsidRDefault="00000000" w:rsidRPr="00000000" w14:paraId="00000008">
      <w:pPr>
        <w:shd w:fill="bfbfbf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 SUPERVISIONADO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total: 60 hs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Atividades oferecidas na USP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Biblioteca da ECA</w:t>
      </w:r>
      <w:r w:rsidDel="00000000" w:rsidR="00000000" w:rsidRPr="00000000">
        <w:rPr>
          <w:rFonts w:ascii="Arial" w:cs="Arial" w:eastAsia="Arial" w:hAnsi="Arial"/>
          <w:rtl w:val="0"/>
        </w:rPr>
        <w:t xml:space="preserve">, NCE – Núcleo de Comunicação e Educação,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Núcleo de Estudos da Violência USP;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Atividades oferecidas por instituições parceiras: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Rede Museus-Casas Literários da Secretaria de Cultura do Estado de SP e ONGs (Viração Educomunicação, CENPEC, NovOlhar)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as atividades serão registradas em formulário próprio, e os resultados serão utilizados em relatórios e projeto de TCC.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1 - Metodologia de Pesquisa  - instrumentos e estratégias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20h de estágio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 Oficinas na Biblioteca (10h)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-Sobre ferramentas e estratégias de pesquisa em plataformas e banco de dados, conforme programação abaixo. 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 Encontros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biblioteca, totalizando 10hs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Os alunos serão organizados em dois grupos, e cada um passará por 3 encontros de 1h30, totalizando 10 horas nesta atividade;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GRUPO 1: matriculados (11) em Gestão da Comunicação no âmbito dos espaços educativos - (Profa. Claudia Lago)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GRUPO 2 – matriculados (16) exclusivamente em Procedimentos de Pesquisa em Educomunicação (Prof.Claudemir Viana)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 1: . Aula introdutória: Dédalus, Busca Integrada, operadores booleanos, VPN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 2:  Bases de dados internacionais para busca de literatura acadêmica (simulações a partir do tema de interesse dos participantes para o TCC)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 3:  Gerenciador de referências Endnote Basic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Cronograma dos encontros: 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04/04 - Tema 1 - GRUPO 1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11/04 - Tema 1 - GRUPO 2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18/04 - Tema 2 - GRUPO 1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25/04 - Tema 2 - GRUPO 2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02/05 - Tema 3 - GRUPO 1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09/05 - Tema 3 - GRUPO 2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Horário: 18h-19h30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  Exercício de Pesquisa, ( 10hs)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alunos realizarão exercício de pesquisa a partir de roteiro a ser entregue pelo docente, e relacionada à Educomunicação e ao tema de seu futuro TCC.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2 – Participação em atividade específica,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yellow"/>
          <w:rtl w:val="0"/>
        </w:rPr>
        <w:t xml:space="preserve">a escolher entre uma das indicadas abaixo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, com equivalência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yellow"/>
          <w:rtl w:val="0"/>
        </w:rPr>
        <w:t xml:space="preserve">de  40hs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2.1 ABPEducom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Associação Brasileira de Pesquisadores e Profissionais em Educomunicação é um organização da sociedade civil, mantida pelos seus associados, e sem fins lucrativos, que desde 2012 atua em diferentes frentes tendo a educomunicação para referência teórica-metodológica, como ação interventora em diversos âmbitos da sociedade, e como tema de pesquisas e cultura. São práticas da instituição a promoção de eventos regionais e nacionais, participação em eventos internacionais; publicação de ebooks, livros e demais formatos de conteúdos referentes à educomunicação; elaboração de projetos e assessorias especializadas; produção e divulgação de material multimídia sobre fatos e ideias presentes na sociedade e possuem relação com o campo profissional e de pesquisa em educomunicação.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principais ações do estagiário consistirão em:</w:t>
      </w:r>
    </w:p>
    <w:p w:rsidR="00000000" w:rsidDel="00000000" w:rsidP="00000000" w:rsidRDefault="00000000" w:rsidRPr="00000000" w14:paraId="00000033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Gestão de Eventos Educomunicativos;</w:t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Comunicação e Marketing em redes sociais;</w:t>
      </w:r>
    </w:p>
    <w:p w:rsidR="00000000" w:rsidDel="00000000" w:rsidP="00000000" w:rsidRDefault="00000000" w:rsidRPr="00000000" w14:paraId="00000035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Criação de suportes online como sites e páginas nas redes sociais;</w:t>
      </w:r>
    </w:p>
    <w:p w:rsidR="00000000" w:rsidDel="00000000" w:rsidP="00000000" w:rsidRDefault="00000000" w:rsidRPr="00000000" w14:paraId="00000036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Participação nos trabalhos de planejamento e análise das atividades;</w:t>
      </w:r>
    </w:p>
    <w:p w:rsidR="00000000" w:rsidDel="00000000" w:rsidP="00000000" w:rsidRDefault="00000000" w:rsidRPr="00000000" w14:paraId="00000037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Monitoria e métrica de canais e instrumentos de comunicação da ABPEducom;</w:t>
      </w:r>
    </w:p>
    <w:p w:rsidR="00000000" w:rsidDel="00000000" w:rsidP="00000000" w:rsidRDefault="00000000" w:rsidRPr="00000000" w14:paraId="00000038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Elaboração de detalhamentos sobre procedimentos de pesquisa.</w:t>
      </w:r>
    </w:p>
    <w:p w:rsidR="00000000" w:rsidDel="00000000" w:rsidP="00000000" w:rsidRDefault="00000000" w:rsidRPr="00000000" w14:paraId="00000039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  <w:tab/>
        <w:t xml:space="preserve">Apoio à produção e acompanhamento de atividades como: conferências livres online; EaD; vídeo conferências, </w:t>
      </w:r>
    </w:p>
    <w:p w:rsidR="00000000" w:rsidDel="00000000" w:rsidP="00000000" w:rsidRDefault="00000000" w:rsidRPr="00000000" w14:paraId="0000003A">
      <w:pPr>
        <w:tabs>
          <w:tab w:val="left" w:pos="284"/>
        </w:tabs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produção de e-books entre outros.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Arial" w:cs="Arial" w:eastAsia="Arial" w:hAnsi="Arial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2.2  Projeto piloto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“Observatórios de Direitos Humanos em Escolas” - Núcleo de Estudos da Violência da Universidade de São Paulo (NEV-USP)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Participação em atividades de planejamento e implementação do projeto, o qual é desenvolvido pelo Núcleo de Estudos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Violência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da Universidade de São Paulo (NEV-USP), contribuindo para a realização de atividades que relacionem Direitos humanos e Educomunicação.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Descrição do projeto: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projeto tem como objetivo desenvolver atividades de sensibilização e formação para o conhecimento e o monitoramento de direitos humanos nos contextos escolares e cotidianos dos educandos. Caracteriza-se, como uma iniciativa de Educação em Direitos Humanos (EDH) no âmbito da educação básica, a qual será desenvolvida por meio de duas etapas: a primeira voltada a envolver os educandos num diagnóstico sobre a própria realidade escolar, a partir da ótica dos direitos humanos, e auxiliá-los na proposição de resoluções voltadas à transformação da escola em um ambiente de cidadania; e a segunda destinada a ampliar o olhar dos educandos sobre o contexto social onde residem, igualmente estimulando o monitoramento de direitos e possíveis violações, assim como o desenvolvimento de propostas de melhoria.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Os “Observatórios” visam o desenvolvimento de uma EDH contextualizada, participativa e colaborativa, prezando, dessa maneira, por atividades baseadas na experiência dos educandos, que transmitam e propiciem uma vivência fundamentada nos princípios dos direitos humanos (como dignidade, igualdade e não discriminação), que propiciem a troca e o trabalho coletivo, bem como utilizem linguagens de expressão que permitam uma EDH por meio de práticas criativas e inovadoras. As atividades destinadas aos alunos serão realizadas nos períodos de aula, em colaboração com os professores. Ademais, serão realizadas atividades de formação e planejamento com os professores e demais profissionais escolares. </w:t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Público-alvo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Educandos e profissionais de duas escolas públicas do município de São Paulo. As atividades irão abranger, especificamente, as turmas de 6º anos do ensino fundamental II e 1º anos do ensino médio.</w:t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Escolas: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EMEF Bernardo O'Higgins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(R. Palacete das Águias, 585 - Vila Alexandria) 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EE Amélia Kerr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(Av. dos Funcionários Públicos, 1355 - Jd. Horizonte Azul). </w:t>
      </w:r>
    </w:p>
    <w:p w:rsidR="00000000" w:rsidDel="00000000" w:rsidP="00000000" w:rsidRDefault="00000000" w:rsidRPr="00000000" w14:paraId="00000045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Descrição das atividades do estágio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tbl>
      <w:tblPr>
        <w:tblStyle w:val="Table1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3402"/>
        <w:tblGridChange w:id="0">
          <w:tblGrid>
            <w:gridCol w:w="6487"/>
            <w:gridCol w:w="3402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Atividades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Carga horária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Pesquisa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Realizar pesquisa e sistematização de iniciativas de EDH, </w:t>
              <w:br w:type="textWrapping"/>
              <w:t xml:space="preserve">a partir de diferentes linguagens (audiovisual, quadrinhos, atividades corporais e cênicas, etc.). Essa pesquisa poderá versar sobre temáticas específicas no âmbito da EDH, como: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gênero;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raça e etnia;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religião;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orientação sexual;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pessoas com deficiência;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discriminação e violência, entre outros.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10h de estágio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Reuniões internas no NEV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Participação nas reuniões de planejamento, que são realizadas às segundas-feiras, das 10h às 12h, a fim de propor e desenvolver conjuntamente atividades de intervenção em Direitos humanos e Educomun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ção.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10h de estágio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Encontros quinzenais. Datas: 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rtl w:val="0"/>
              </w:rPr>
              <w:t xml:space="preserve">2/04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(primeiro encontro); 16/04; 30/04; 14/05 e 28/05. 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Local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Av. Professor Almeida Prado, 520.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Visitas a uma das escolas para implementação das atividades planejadas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Em princípio as visitas estão sendo realizadas às segundas, quartas e sextas (nos períodos da manhã e tarde). 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20h de estágio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Total de 3 visitas em uma escola (com data a ser definida). 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Supervisão do Estágio: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projeto no NEV 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Clarice: 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podhe.nev@gmail.com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Vitor Blotta: 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vitor.blotta@uol.com.br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2.3 Núcleo de Comunicação e Educação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Participação nas atividades de produção de documentário sobre aspectos da Educomunicação, a partir da experiência e produção do NCE nos 20 anos de existência,  para alimentar a Websérie no Youtube e de outros ambientes/canais de divulgação do Núcleo.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Participação nas atividades de recuperação, preservação e disponibilização de material físico e digital que compõem o acervo do NCE, e em execução pelo programa do Bolsa Unificada da USP e pelos colaboradores do Núcleo ou sob orientação dos professores coordenadores do Núcleo (profs. Ismar Oliveira Soares e Claudemir Viana).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Participação de atividades de produção e atualização dos espaços e canais de comunicação do Núcleo, bem como sobre as atividades promovidas (cursos, eventos etc).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Participação na organização do II Congresso Internacional de Comunicação e Educação a ser promovido em novembro pelo NCE. Para tanto serão oferecidas oportunidades em pesquisa e em gestão dos processos, bem como oportunidades em produção de material informativo e de divulgação do evento.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2.4  Rede de Museus-Casas Literários de São Paulo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Rede de Museus-Casas Literários de São Paulo, da Secretaria de Estado da Cultura, composta por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Casa Guilherme de Almeida, Casa Mário de Andrade, Centro de Estudos de Tradução Literária e a Casa das Rosas - Espaço Haroldo de Campos de Poesia e Literatura,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apresenta-se como um conjunto de museus-casa literários voltados à ampliação e ao aprofundamento do debate literário na educação formal e não-formal, bem como à democratização do acesso a seus respectivos acervos e patronos por meio de suas obras e relacionada a concepções contemporâneas de literatura, em sua interface com outras linguagens e processos, como a tradução, a música e as artes plásticas, conciliando tradição e modernidade, esses espaços se propõem a contribuir de maneira significativa para o acesso a letramentos literários de qualidade, à formação de educadores e a participação, a ocupação e a ressignificação do público em espaços museais de São Paulo, partindo da palavra poética e da história urbana para uma compreensão mais ampla da arte literária e da cidade. Esses locais são mantidos pela Secretaria de Cultura do estado de São Paulo e administrados pela Poiesis - Organização Social de Cultura. Para mais informações, é possível consultar..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Casa das Rosas: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www.casadasrosas.org.br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Casa Guilherme de Almeida: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http://www.casaguilhermedealmeida.org.br/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Casa Mário de Andrade: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http://www.casamariodeandrade.org.br/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Arial" w:cs="Arial" w:eastAsia="Arial" w:hAnsi="Arial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2.5 – Organizações Não-Governamentais e similares</w:t>
      </w:r>
    </w:p>
    <w:p w:rsidR="00000000" w:rsidDel="00000000" w:rsidP="00000000" w:rsidRDefault="00000000" w:rsidRPr="00000000" w14:paraId="00000069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25" w:before="150" w:lineRule="auto"/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 - O Centro de Estudos e Pesquisas em Educação, Cultura e Ação Comunitária (CENPEC)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CENPEC é uma organização da sociedade civil, sem fins lucrativos, criada em 1987.</w:t>
      </w:r>
    </w:p>
    <w:p w:rsidR="00000000" w:rsidDel="00000000" w:rsidP="00000000" w:rsidRDefault="00000000" w:rsidRPr="00000000" w14:paraId="0000006C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 como objetivo o desenvolvimento de ações voltadas à melhoria da qualidade da educação pública e à participação no aprimoramento da política social.</w:t>
      </w:r>
    </w:p>
    <w:p w:rsidR="00000000" w:rsidDel="00000000" w:rsidP="00000000" w:rsidRDefault="00000000" w:rsidRPr="00000000" w14:paraId="0000006D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ações do Cenpec têm como foco a escola pública, os espaços educativos de caráter público e as políticas e iniciativas destinadas ao enfrentamento das desigualdades.</w:t>
      </w:r>
    </w:p>
    <w:p w:rsidR="00000000" w:rsidDel="00000000" w:rsidP="00000000" w:rsidRDefault="00000000" w:rsidRPr="00000000" w14:paraId="0000006E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 o CENPEC, a Licenciatura em Educomunicação, poderá abrir oportunidades em algumas frentes de ação daquela instituição.</w:t>
      </w:r>
    </w:p>
    <w:p w:rsidR="00000000" w:rsidDel="00000000" w:rsidP="00000000" w:rsidRDefault="00000000" w:rsidRPr="00000000" w14:paraId="0000006F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Localização: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http://www.cenpec.org.br/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25" w:before="15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R. Minas Gerais, 228 , Higienópolis, São Paulo - SP ,CEP: 01244-010, +55 11 2132-9000</w:t>
      </w:r>
    </w:p>
    <w:p w:rsidR="00000000" w:rsidDel="00000000" w:rsidP="00000000" w:rsidRDefault="00000000" w:rsidRPr="00000000" w14:paraId="00000071">
      <w:pPr>
        <w:spacing w:after="225" w:before="150" w:lineRule="auto"/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25" w:before="15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II – Viração Educomunicação</w:t>
      </w:r>
    </w:p>
    <w:p w:rsidR="00000000" w:rsidDel="00000000" w:rsidP="00000000" w:rsidRDefault="00000000" w:rsidRPr="00000000" w14:paraId="00000073">
      <w:pPr>
        <w:spacing w:after="225" w:before="15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Viração Educomunicação é uma organização da sociedade civil e atua com comunicação, educação e mobilização social entre adolescentes, jovens e educadores. O objetivo é mobilizar para a promoção e a defesa dos direitos de adolescentes e jovens, possibilitando a construção de uma sociedade justa, participativa e plural, através da educomunicação e da educação entre pares.</w:t>
      </w:r>
    </w:p>
    <w:p w:rsidR="00000000" w:rsidDel="00000000" w:rsidP="00000000" w:rsidRDefault="00000000" w:rsidRPr="00000000" w14:paraId="00000074">
      <w:pPr>
        <w:spacing w:after="225" w:before="15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Estágio será realizado no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Projeto Agencia Jovem (AJN),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uma iniciativa colaborativa da Viração e parceiros que se constitui numa articulação de núcleos de adolescentes e jovens de organizações sociais e escolas do Ensino Fundamental e Médio. Neste ano, o projeto acontece no âmbito da Plataforma dos Centros Urbanos (PCU), iniciativa do UNICEF que visa diminuir as desigualdades sociais que afetam a qualidade de vida de adolescentes moradores de grandes cidades. A Agência Jovem compõe as estratégias da PCU para fortalecer a participação cidadã de meninos e meninas. 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Durante as atividades da AJN, os adolescentes participam de atividades com foco em comunicação e direitos; produzem e disseminam informação de interesse comunitário, utilizando os princípios e técnicas do jornalismo social, comunitário e colaborativo.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Localização e contatos: Vania Correia -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http://viracao.org/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III – NOVOLHAR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150" w:lineRule="auto"/>
        <w:contextualSpacing w:val="0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50" w:lineRule="auto"/>
        <w:contextualSpacing w:val="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NOVOLHAR -  </w:t>
      </w:r>
      <w:r w:rsidDel="00000000" w:rsidR="00000000" w:rsidRPr="00000000">
        <w:rPr>
          <w:rFonts w:ascii="Arial" w:cs="Arial" w:eastAsia="Arial" w:hAnsi="Arial"/>
          <w:rtl w:val="0"/>
        </w:rPr>
        <w:t xml:space="preserve">A Associação Novolhar atua há 12 anos no bairro da Bela Vista, no Bixiga, com a finalidade de contribuir para a inclusão social de crianças, jovens, família e comunidade. Neste ano já atendemos mais de 700 crianças e adolescentes, contando com 35 profissionais contratados e 12 voluntários. Atualmente são desenvolvidas 5 ações: Um Novolhar no Bixiga, Escritório de Inclusão Social Bela Vista, Audiovisual na Fundação C.A.S.A., Novolhar na TV (Programa Novolhar), Produtora Social Novolhar Comunica. A Associação tem a sede situada na rua Maria José, 186 - Bela Vista, São Pauo/SP, e o site é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http://www.novolhar.org.br/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A Associação NOVOLHAR é aqui representada por Paulo Santiago.</w:t>
      </w:r>
    </w:p>
    <w:p w:rsidR="00000000" w:rsidDel="00000000" w:rsidP="00000000" w:rsidRDefault="00000000" w:rsidRPr="00000000" w14:paraId="0000007E">
      <w:pPr>
        <w:shd w:fill="ffffff" w:val="clear"/>
        <w:spacing w:after="15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Oportunidades: Projeto Agência Comunitária de Comunicação</w:t>
      </w:r>
    </w:p>
    <w:p w:rsidR="00000000" w:rsidDel="00000000" w:rsidP="00000000" w:rsidRDefault="00000000" w:rsidRPr="00000000" w14:paraId="0000007F">
      <w:pPr>
        <w:shd w:fill="ffffff" w:val="clear"/>
        <w:spacing w:after="15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 em qualquer dias da semana (segunda à sexta) nos períodos da manhã (9h às 11h30) e tarde (14h às 16h30).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npec.org.br/" TargetMode="External"/><Relationship Id="rId7" Type="http://schemas.openxmlformats.org/officeDocument/2006/relationships/hyperlink" Target="http://viracao.org/" TargetMode="External"/><Relationship Id="rId8" Type="http://schemas.openxmlformats.org/officeDocument/2006/relationships/hyperlink" Target="http://www.novolhar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