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90" w:rsidRPr="00E11B90" w:rsidRDefault="00E11B90" w:rsidP="00E11B90">
      <w:pPr>
        <w:spacing w:after="0" w:line="240" w:lineRule="auto"/>
        <w:ind w:firstLine="720"/>
        <w:jc w:val="center"/>
        <w:rPr>
          <w:rFonts w:ascii="Arial" w:eastAsiaTheme="minorEastAsia" w:hAnsi="Arial" w:cs="Times New Roman"/>
          <w:b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>Faculdade de Economia, Administração e Contabilidade</w:t>
      </w:r>
      <w:r>
        <w:rPr>
          <w:rFonts w:ascii="Arial" w:eastAsiaTheme="minorEastAsia" w:hAnsi="Arial" w:cs="Times New Roman"/>
          <w:b/>
          <w:bCs/>
          <w:lang w:eastAsia="en-GB"/>
        </w:rPr>
        <w:t xml:space="preserve"> de Ribeirão Preto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> </w:t>
      </w:r>
    </w:p>
    <w:p w:rsidR="00E11B90" w:rsidRPr="00E11B90" w:rsidRDefault="00E11B90" w:rsidP="00E11B90">
      <w:pPr>
        <w:spacing w:after="0" w:line="240" w:lineRule="auto"/>
        <w:jc w:val="center"/>
        <w:rPr>
          <w:rFonts w:ascii="Arial" w:eastAsiaTheme="minorEastAsia" w:hAnsi="Arial" w:cs="Times New Roman"/>
          <w:b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 xml:space="preserve">Disciplina: Teoria da Contabilidade </w:t>
      </w:r>
      <w:r w:rsidR="009027D7">
        <w:rPr>
          <w:rFonts w:ascii="Arial" w:eastAsiaTheme="minorEastAsia" w:hAnsi="Arial" w:cs="Times New Roman"/>
          <w:b/>
          <w:bCs/>
          <w:lang w:eastAsia="en-GB"/>
        </w:rPr>
        <w:t>I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/>
          <w:lang w:eastAsia="en-GB"/>
        </w:rPr>
      </w:pPr>
    </w:p>
    <w:p w:rsidR="00E11B90" w:rsidRPr="00E11B90" w:rsidRDefault="00E11B90" w:rsidP="00E11B90">
      <w:pPr>
        <w:tabs>
          <w:tab w:val="left" w:pos="3161"/>
        </w:tabs>
        <w:spacing w:after="0" w:line="240" w:lineRule="auto"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>Créditos Aula:</w:t>
      </w:r>
      <w:r w:rsidRPr="00E11B90">
        <w:rPr>
          <w:rFonts w:ascii="Arial" w:eastAsiaTheme="minorEastAsia" w:hAnsi="Arial" w:cs="Times New Roman"/>
          <w:lang w:eastAsia="en-GB"/>
        </w:rPr>
        <w:tab/>
      </w:r>
      <w:r w:rsidRPr="00E11B90">
        <w:rPr>
          <w:rFonts w:ascii="Arial" w:eastAsiaTheme="minorEastAsia" w:hAnsi="Arial" w:cs="Times New Roman"/>
          <w:bCs/>
          <w:lang w:eastAsia="en-GB"/>
        </w:rPr>
        <w:t xml:space="preserve">2 </w:t>
      </w:r>
    </w:p>
    <w:p w:rsidR="00E11B90" w:rsidRPr="00E11B90" w:rsidRDefault="00E11B90" w:rsidP="00E11B90">
      <w:pPr>
        <w:tabs>
          <w:tab w:val="left" w:pos="3161"/>
        </w:tabs>
        <w:spacing w:after="0" w:line="240" w:lineRule="auto"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>Carga Horária Total:</w:t>
      </w:r>
      <w:r w:rsidRPr="00E11B90">
        <w:rPr>
          <w:rFonts w:ascii="Arial" w:eastAsiaTheme="minorEastAsia" w:hAnsi="Arial" w:cs="Times New Roman"/>
          <w:bCs/>
          <w:lang w:eastAsia="en-GB"/>
        </w:rPr>
        <w:t xml:space="preserve"> </w:t>
      </w:r>
      <w:r w:rsidRPr="00E11B90">
        <w:rPr>
          <w:rFonts w:ascii="Arial" w:eastAsiaTheme="minorEastAsia" w:hAnsi="Arial" w:cs="Times New Roman"/>
          <w:lang w:eastAsia="en-GB"/>
        </w:rPr>
        <w:tab/>
      </w:r>
      <w:r w:rsidRPr="00E11B90">
        <w:rPr>
          <w:rFonts w:ascii="Arial" w:eastAsiaTheme="minorEastAsia" w:hAnsi="Arial" w:cs="Times New Roman"/>
          <w:bCs/>
          <w:lang w:eastAsia="en-GB"/>
        </w:rPr>
        <w:t xml:space="preserve">30 h </w:t>
      </w:r>
    </w:p>
    <w:p w:rsidR="00E11B90" w:rsidRPr="00E11B90" w:rsidRDefault="00E11B90" w:rsidP="00E11B90">
      <w:pPr>
        <w:tabs>
          <w:tab w:val="left" w:pos="3161"/>
        </w:tabs>
        <w:spacing w:after="0" w:line="240" w:lineRule="auto"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>Tipo:</w:t>
      </w:r>
      <w:r w:rsidRPr="00E11B90">
        <w:rPr>
          <w:rFonts w:ascii="Arial" w:eastAsiaTheme="minorEastAsia" w:hAnsi="Arial" w:cs="Times New Roman"/>
          <w:lang w:eastAsia="en-GB"/>
        </w:rPr>
        <w:tab/>
      </w:r>
      <w:r w:rsidRPr="00E11B90">
        <w:rPr>
          <w:rFonts w:ascii="Arial" w:eastAsiaTheme="minorEastAsia" w:hAnsi="Arial" w:cs="Times New Roman"/>
          <w:bCs/>
          <w:lang w:eastAsia="en-GB"/>
        </w:rPr>
        <w:t xml:space="preserve">Semestral </w:t>
      </w:r>
    </w:p>
    <w:p w:rsidR="00E11B90" w:rsidRPr="00E11B90" w:rsidRDefault="00E11B90" w:rsidP="00E11B90">
      <w:pPr>
        <w:tabs>
          <w:tab w:val="left" w:pos="3161"/>
        </w:tabs>
        <w:spacing w:after="0" w:line="240" w:lineRule="auto"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>Ativação:</w:t>
      </w:r>
      <w:r w:rsidRPr="00E11B90">
        <w:rPr>
          <w:rFonts w:ascii="Arial" w:eastAsiaTheme="minorEastAsia" w:hAnsi="Arial" w:cs="Times New Roman"/>
          <w:bCs/>
          <w:lang w:eastAsia="en-GB"/>
        </w:rPr>
        <w:t xml:space="preserve"> </w:t>
      </w:r>
      <w:r w:rsidRPr="00E11B90">
        <w:rPr>
          <w:rFonts w:ascii="Arial" w:eastAsiaTheme="minorEastAsia" w:hAnsi="Arial" w:cs="Times New Roman"/>
          <w:lang w:eastAsia="en-GB"/>
        </w:rPr>
        <w:tab/>
      </w:r>
      <w:r w:rsidRPr="00E11B90">
        <w:rPr>
          <w:rFonts w:ascii="Arial" w:eastAsiaTheme="minorEastAsia" w:hAnsi="Arial" w:cs="Times New Roman"/>
          <w:bCs/>
          <w:lang w:eastAsia="en-GB"/>
        </w:rPr>
        <w:t xml:space="preserve">03 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/>
          <w:bCs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 xml:space="preserve">Objetivos 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/>
          <w:lang w:eastAsia="en-GB"/>
        </w:rPr>
      </w:pPr>
    </w:p>
    <w:p w:rsidR="00E11B90" w:rsidRPr="00E11B90" w:rsidRDefault="00E11B90" w:rsidP="00E11B90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Discutir questões conceituais e práticas no campo do conhecimento e aplicação da Teoria da Contabilidade.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lang w:eastAsia="en-GB"/>
        </w:rPr>
      </w:pPr>
    </w:p>
    <w:p w:rsidR="00E11B90" w:rsidRPr="00E11B90" w:rsidRDefault="00E11B90" w:rsidP="00E11B90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Propiciar, ao aluno, uma forma de pensar criticamente sobre assuntos contábeis, reconhecendo as diversas opções metodológicas para o entendimento do objetivo e da prática da Contabilidade, e seu uso nas atividades profissionais, quer como “preparador” de demonstrações contábeis, quer como analista/usuário, quer como auditor das mesmas;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lang w:eastAsia="en-GB"/>
        </w:rPr>
      </w:pPr>
    </w:p>
    <w:p w:rsidR="00E11B90" w:rsidRPr="00E11B90" w:rsidRDefault="00E11B90" w:rsidP="00E11B90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Aperfeiçoar as condições para elaboração de projetos de pesquisa, em complemento às competências e habilidades adquiridas na disciplina Metodologia da Pesquisa Aplicada à Contabilidade.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lang w:eastAsia="en-GB"/>
        </w:rPr>
        <w:t xml:space="preserve">  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</w:pPr>
    </w:p>
    <w:p w:rsidR="00E11B90" w:rsidRDefault="00E11B90" w:rsidP="00E11B90">
      <w:pPr>
        <w:spacing w:after="0" w:line="240" w:lineRule="auto"/>
        <w:rPr>
          <w:rFonts w:ascii="Arial" w:eastAsiaTheme="minorEastAsia" w:hAnsi="Arial" w:cs="Times New Roman"/>
          <w:b/>
          <w:bCs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>Docente(s) Responsável(eis)</w:t>
      </w:r>
      <w:r>
        <w:rPr>
          <w:rFonts w:ascii="Arial" w:eastAsiaTheme="minorEastAsia" w:hAnsi="Arial" w:cs="Times New Roman"/>
          <w:b/>
          <w:bCs/>
          <w:lang w:eastAsia="en-GB"/>
        </w:rPr>
        <w:t xml:space="preserve">: 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/>
          <w:bCs/>
          <w:lang w:eastAsia="en-GB"/>
        </w:rPr>
      </w:pPr>
      <w:r>
        <w:rPr>
          <w:rFonts w:ascii="Arial" w:eastAsiaTheme="minorEastAsia" w:hAnsi="Arial" w:cs="Times New Roman"/>
          <w:bCs/>
          <w:lang w:eastAsia="en-GB"/>
        </w:rPr>
        <w:t>Amaury José Rezend</w:t>
      </w:r>
      <w:r w:rsidR="009027D7">
        <w:rPr>
          <w:rFonts w:ascii="Arial" w:eastAsiaTheme="minorEastAsia" w:hAnsi="Arial" w:cs="Times New Roman"/>
          <w:bCs/>
          <w:lang w:eastAsia="en-GB"/>
        </w:rPr>
        <w:t>e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vanish/>
          <w:lang w:eastAsia="en-GB"/>
        </w:rPr>
      </w:pPr>
    </w:p>
    <w:p w:rsidR="00E11B90" w:rsidRPr="00E11B90" w:rsidRDefault="00E11B90" w:rsidP="00E11B90">
      <w:pPr>
        <w:spacing w:after="200" w:line="276" w:lineRule="auto"/>
        <w:rPr>
          <w:rFonts w:ascii="Arial" w:eastAsiaTheme="minorEastAsia" w:hAnsi="Arial" w:cs="Times New Roman"/>
          <w:b/>
          <w:bCs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br w:type="page"/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/>
          <w:bCs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lastRenderedPageBreak/>
        <w:t>Programa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</w:pPr>
    </w:p>
    <w:p w:rsidR="00E11B90" w:rsidRPr="00E11B90" w:rsidRDefault="00E11B90" w:rsidP="00E11B90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/>
          <w:bCs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>Introdução ao estudo da teoria da contabilidade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O que é uma teoria e para que serve? O que é uma estrutura conceitual? Qual a diferença de ambas?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 Decisão econômica e o(s) objetivo(s) da informação financeira: contabilidade como uma disciplina social aplicada e utilitária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 Essência e forma no processo contábil: Países </w:t>
      </w:r>
      <w:proofErr w:type="spellStart"/>
      <w:r w:rsidRPr="00E11B90">
        <w:rPr>
          <w:rFonts w:ascii="Arial" w:eastAsiaTheme="minorEastAsia" w:hAnsi="Arial" w:cs="Times New Roman"/>
          <w:bCs/>
          <w:i/>
          <w:lang w:eastAsia="en-GB"/>
        </w:rPr>
        <w:t>code</w:t>
      </w:r>
      <w:proofErr w:type="spellEnd"/>
      <w:r w:rsidRPr="00E11B90">
        <w:rPr>
          <w:rFonts w:ascii="Arial" w:eastAsiaTheme="minorEastAsia" w:hAnsi="Arial" w:cs="Times New Roman"/>
          <w:bCs/>
          <w:i/>
          <w:lang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i/>
          <w:lang w:eastAsia="en-GB"/>
        </w:rPr>
        <w:t>law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e </w:t>
      </w:r>
      <w:r w:rsidRPr="00E11B90">
        <w:rPr>
          <w:rFonts w:ascii="Arial" w:eastAsiaTheme="minorEastAsia" w:hAnsi="Arial" w:cs="Times New Roman"/>
          <w:bCs/>
          <w:i/>
          <w:lang w:eastAsia="en-GB"/>
        </w:rPr>
        <w:t xml:space="preserve">common </w:t>
      </w:r>
      <w:proofErr w:type="spellStart"/>
      <w:r w:rsidRPr="00E11B90">
        <w:rPr>
          <w:rFonts w:ascii="Arial" w:eastAsiaTheme="minorEastAsia" w:hAnsi="Arial" w:cs="Times New Roman"/>
          <w:bCs/>
          <w:i/>
          <w:lang w:eastAsia="en-GB"/>
        </w:rPr>
        <w:t>law</w:t>
      </w:r>
      <w:proofErr w:type="spellEnd"/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 Postulados, princípios e convenções: uma visão da teoria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lang w:eastAsia="en-GB"/>
        </w:rPr>
      </w:pPr>
    </w:p>
    <w:p w:rsidR="00E11B90" w:rsidRPr="00E11B90" w:rsidRDefault="00E11B90" w:rsidP="00E11B90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/>
          <w:bCs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>Fundamentos da Teoria da Contabilidade Financeira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Contabilidade em condição de assimetria informacional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Contabilidade como instrumento de governança corporativa e redução de conflito de agência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Contabilidade como instrumento de implementação e observância de contratos: teoria contratual da firma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lang w:eastAsia="en-GB"/>
        </w:rPr>
      </w:pPr>
    </w:p>
    <w:p w:rsidR="00E11B90" w:rsidRPr="00E11B90" w:rsidRDefault="00E11B90" w:rsidP="00E11B90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/>
          <w:bCs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>Aspectos conceituais e aprofundados de teoria da contabilidade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Estrutura conceitual da contabilidade atual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Objetivo da informação financeira</w:t>
      </w:r>
    </w:p>
    <w:p w:rsidR="00E11B90" w:rsidRPr="00E11B90" w:rsidRDefault="00E11B90" w:rsidP="00E11B90">
      <w:pPr>
        <w:numPr>
          <w:ilvl w:val="2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Objetivo e usuários da informação financeira de propósito geral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Regime de competência e o conteúdo informativo das ‘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accruals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’ 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Características qualitativas da informação contábil</w:t>
      </w:r>
    </w:p>
    <w:p w:rsidR="00E11B90" w:rsidRPr="00E11B90" w:rsidRDefault="00E11B90" w:rsidP="00E11B90">
      <w:pPr>
        <w:numPr>
          <w:ilvl w:val="2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Relação entre as características qualitativas da informação contábil e os princípios contábeis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Elementos fundamentais da informação financeira</w:t>
      </w:r>
    </w:p>
    <w:p w:rsidR="00E11B90" w:rsidRPr="00E11B90" w:rsidRDefault="00E11B90" w:rsidP="00E11B90">
      <w:pPr>
        <w:numPr>
          <w:ilvl w:val="2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Ativo</w:t>
      </w:r>
    </w:p>
    <w:p w:rsidR="00E11B90" w:rsidRPr="00E11B90" w:rsidRDefault="00E11B90" w:rsidP="00E11B90">
      <w:pPr>
        <w:numPr>
          <w:ilvl w:val="2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Passivo</w:t>
      </w:r>
    </w:p>
    <w:p w:rsidR="00E11B90" w:rsidRPr="00E11B90" w:rsidRDefault="00E11B90" w:rsidP="00E11B90">
      <w:pPr>
        <w:numPr>
          <w:ilvl w:val="2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Patrimônio Líquido</w:t>
      </w:r>
    </w:p>
    <w:p w:rsidR="00E11B90" w:rsidRPr="00E11B90" w:rsidRDefault="00E11B90" w:rsidP="00E11B90">
      <w:pPr>
        <w:numPr>
          <w:ilvl w:val="2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Receitas/ganhos</w:t>
      </w:r>
    </w:p>
    <w:p w:rsidR="00E11B90" w:rsidRPr="00E11B90" w:rsidRDefault="00E11B90" w:rsidP="00E11B90">
      <w:pPr>
        <w:numPr>
          <w:ilvl w:val="2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Despesas/perdas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lang w:eastAsia="en-GB"/>
        </w:rPr>
      </w:pPr>
    </w:p>
    <w:p w:rsidR="00E11B90" w:rsidRPr="00E11B90" w:rsidRDefault="00E11B90" w:rsidP="00E11B90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/>
          <w:bCs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>Compreendendo a informação financeira a partir da estrutura conceitual: estudos de caso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lang w:eastAsia="en-GB"/>
        </w:rPr>
      </w:pPr>
    </w:p>
    <w:p w:rsidR="00E11B90" w:rsidRPr="00E11B90" w:rsidRDefault="00E11B90" w:rsidP="00E11B90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b/>
          <w:bCs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t>Principais aspectos das pesquisas normativa e positiva em Contabilidade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Positivismo versus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Normativismo</w:t>
      </w:r>
      <w:proofErr w:type="spellEnd"/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Informação contábil e mercado de capitais (relevância da informação contábil ou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value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relevance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>)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Gerenciamento de resultados ou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earnings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management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Governança corporativa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Conservadorismo</w:t>
      </w:r>
    </w:p>
    <w:p w:rsidR="00E11B90" w:rsidRPr="00E11B90" w:rsidRDefault="00E11B90" w:rsidP="00E11B90">
      <w:pPr>
        <w:numPr>
          <w:ilvl w:val="1"/>
          <w:numId w:val="4"/>
        </w:numPr>
        <w:spacing w:after="0" w:line="240" w:lineRule="auto"/>
        <w:contextualSpacing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Regime de competência e conteúdo informacional dos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accruals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(comparação entre lucro e fluxo de caixa)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  <w:sectPr w:rsidR="00E11B90" w:rsidRPr="00E11B90" w:rsidSect="00CA7B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8720"/>
        <w:gridCol w:w="2540"/>
      </w:tblGrid>
      <w:tr w:rsidR="00E11B90" w:rsidRPr="00E11B90" w:rsidTr="009027D7">
        <w:trPr>
          <w:trHeight w:val="1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val="en-GB" w:eastAsia="pt-BR"/>
              </w:rPr>
              <w:lastRenderedPageBreak/>
              <w:t>Aula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val="en-GB" w:eastAsia="pt-BR"/>
              </w:rPr>
              <w:t>Data</w:t>
            </w:r>
          </w:p>
        </w:tc>
        <w:tc>
          <w:tcPr>
            <w:tcW w:w="8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val="en-GB" w:eastAsia="pt-BR"/>
              </w:rPr>
              <w:t>Programa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val="en-GB" w:eastAsia="pt-BR"/>
              </w:rPr>
              <w:t>Biblliografia</w:t>
            </w:r>
            <w:proofErr w:type="spellEnd"/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28/02/2018</w:t>
            </w:r>
          </w:p>
        </w:tc>
        <w:tc>
          <w:tcPr>
            <w:tcW w:w="8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  <w:r w:rsidRPr="00E1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Introdução ao estudo da teoria da contabilidade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Hendriksen, Van Breda, 2011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 que é uma teoria e para que serve? O que é uma estrutura conceitual?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Qual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 a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diferença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 de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ambas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?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Iudícibus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, 2010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1.2.</w:t>
            </w:r>
            <w:r w:rsidRPr="00E1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Postulados, princípios e convenções: uma visão da teoria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Lopes, Martins, 2007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07/03/2018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Decisão econômica e o(s) objetivo(s) da informação financeira: contabilidade como uma disciplina social aplicada e utilitária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Lopes, Martins, 2007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Essência e forma no processo contábil: Países </w:t>
            </w:r>
            <w:proofErr w:type="spellStart"/>
            <w:r w:rsidRPr="00E11B9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code</w:t>
            </w:r>
            <w:proofErr w:type="spellEnd"/>
            <w:r w:rsidRPr="00E11B9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11B9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law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</w:t>
            </w:r>
            <w:r w:rsidRPr="00E11B9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common </w:t>
            </w:r>
            <w:proofErr w:type="spellStart"/>
            <w:r w:rsidRPr="00E11B9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law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Scott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Essencia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x Forma?)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14/03/2018</w:t>
            </w:r>
          </w:p>
        </w:tc>
        <w:tc>
          <w:tcPr>
            <w:tcW w:w="8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2.</w:t>
            </w:r>
            <w:r w:rsidRPr="00E1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Fundamentos da Teoria da Contabilidade Financeira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Lopes, Martins, 2007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Contabilidade em condição de assimetria informacional</w:t>
            </w:r>
          </w:p>
        </w:tc>
        <w:tc>
          <w:tcPr>
            <w:tcW w:w="25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Contabilidade como instrumento de governança corporativa e redução de conflito de agência</w:t>
            </w:r>
          </w:p>
        </w:tc>
        <w:tc>
          <w:tcPr>
            <w:tcW w:w="25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2.3.</w:t>
            </w:r>
            <w:r w:rsidRPr="00E1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Contabilidade como instrumento de implementação e observância de contratos: teoria contratual da firma</w:t>
            </w:r>
          </w:p>
        </w:tc>
        <w:tc>
          <w:tcPr>
            <w:tcW w:w="25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21/03/2018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3.</w:t>
            </w:r>
            <w:r w:rsidRPr="00E1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Aspectos conceituais e aprofundados de teoria da contabilidade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CPC – Estrutura Conceitual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Estrutura conceitual da contabilidade atual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IASB – Framework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3.2.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pt-BR"/>
              </w:rPr>
              <w:t xml:space="preserve">   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Objetivo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 da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informação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financeira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Hendriksen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Van Breda, 2011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3.2.1.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Objetivo e usuários da informação financeira de propósito geral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Iudícibus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, 2010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3.3.</w:t>
            </w:r>
            <w:r w:rsidRPr="00E1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Regime de competência e o conteúdo informativo das ‘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accruals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’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04/04/2018</w:t>
            </w:r>
          </w:p>
        </w:tc>
        <w:tc>
          <w:tcPr>
            <w:tcW w:w="8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Características qualitativas da informação contábil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CPC – Estrutura Conceitual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3.4.1.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Relação entre as características qualitativas da informação contábil e os princípios contábeis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IASB – Framework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11/04/2018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3.5.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Elementos fundamentais da informação financeira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CPC –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Estrutura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Conceitual</w:t>
            </w:r>
            <w:proofErr w:type="spellEnd"/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3.6.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pt-BR"/>
              </w:rPr>
              <w:t xml:space="preserve">   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Ativo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IASB – Framework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Hendriksen, Van Breda, 2011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Iudícibus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, 2010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18/04/2018</w:t>
            </w:r>
          </w:p>
        </w:tc>
        <w:tc>
          <w:tcPr>
            <w:tcW w:w="8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3.6.1.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pt-BR"/>
              </w:rPr>
              <w:t xml:space="preserve">  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Passivo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CPC –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Estrutura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Conceitual</w:t>
            </w:r>
            <w:proofErr w:type="spellEnd"/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3.6.2.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pt-BR"/>
              </w:rPr>
              <w:t xml:space="preserve">  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Patrimônio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Líquido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IASB – Framework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Hendriksen, Van Breda, 2011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1B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Iudícibus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, 2010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25/04/2018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pt-BR"/>
              </w:rPr>
              <w:t>PROVA 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pt-BR"/>
              </w:rPr>
              <w:t> 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02/05/2018</w:t>
            </w:r>
          </w:p>
        </w:tc>
        <w:tc>
          <w:tcPr>
            <w:tcW w:w="8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3.6.3.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pt-BR"/>
              </w:rPr>
              <w:t xml:space="preserve">  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Receitas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/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ganhos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CPC –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Estrutura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Conceitual</w:t>
            </w:r>
            <w:proofErr w:type="spellEnd"/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3.6.4.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pt-BR"/>
              </w:rPr>
              <w:t xml:space="preserve">  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Despesas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/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perdas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IASB – Framework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Hendriksen, Van Breda, 2011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1B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Iudícibus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, 2010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09/05/2018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4.</w:t>
            </w:r>
            <w:r w:rsidRPr="00E1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Compreendendo a informação financeira a partir da estrutura conceitual: estudos de caso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Caso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 Safari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16/05/2018</w:t>
            </w:r>
          </w:p>
        </w:tc>
        <w:tc>
          <w:tcPr>
            <w:tcW w:w="8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4.</w:t>
            </w:r>
            <w:r w:rsidRPr="00E1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Compreendendo a informação financeira a partir da estrutura conceitual: estudos de caso (Continuação)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Caso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 Safari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23/05/2018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5.</w:t>
            </w:r>
            <w:r w:rsidRPr="00E1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Principais aspectos das pesquisas normativa e positiva em Contabilidade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Iudícibus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, Lopes, 2007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5.1.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pt-BR"/>
              </w:rPr>
              <w:t xml:space="preserve">   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Positivismo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 versus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Normativismo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Hendriksen, Van Breda, 2011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</w:t>
            </w:r>
            <w:r w:rsidRPr="00E1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Informação contábil e mercado de capitais (relevância da informação contábil ou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value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relevance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Watts e Zimmerman, 1996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Lopes, 2002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30/05/2018</w:t>
            </w:r>
          </w:p>
        </w:tc>
        <w:tc>
          <w:tcPr>
            <w:tcW w:w="8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6.1.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Gerenciamento de resultados ou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earnings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management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Lopo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, 2001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6.2.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pt-BR"/>
              </w:rPr>
              <w:t xml:space="preserve">   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Governança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corporativa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Paulo, 2007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1B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Sloan, 2001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06/06/2018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1.1.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pt-BR"/>
              </w:rPr>
              <w:t xml:space="preserve">   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Conservadorismo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Barth et al, 1999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1.2.</w:t>
            </w:r>
            <w:r w:rsidRPr="00E11B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Regime de competência e conteúdo informacional dos </w:t>
            </w: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accruals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(comparação entre lucro e fluxo de caixa)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Basu</w:t>
            </w:r>
            <w:proofErr w:type="spellEnd"/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, 1997</w:t>
            </w:r>
          </w:p>
        </w:tc>
      </w:tr>
      <w:tr w:rsidR="00E11B90" w:rsidRPr="00E11B90" w:rsidTr="009027D7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t-BR"/>
              </w:rPr>
              <w:t>20/06/2018</w:t>
            </w:r>
          </w:p>
        </w:tc>
        <w:tc>
          <w:tcPr>
            <w:tcW w:w="8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pt-BR"/>
              </w:rPr>
              <w:t>PROVA 2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B90" w:rsidRPr="00E11B90" w:rsidRDefault="00E11B90" w:rsidP="00902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1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pt-BR"/>
              </w:rPr>
              <w:t> </w:t>
            </w:r>
          </w:p>
        </w:tc>
      </w:tr>
    </w:tbl>
    <w:p w:rsid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  <w:sectPr w:rsidR="00E11B90" w:rsidRPr="00E11B90" w:rsidSect="009027D7">
          <w:pgSz w:w="16840" w:h="11900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/>
          <w:bCs/>
          <w:lang w:val="en-GB" w:eastAsia="en-GB"/>
        </w:rPr>
      </w:pPr>
      <w:proofErr w:type="spellStart"/>
      <w:r w:rsidRPr="00E11B90">
        <w:rPr>
          <w:rFonts w:ascii="Arial" w:eastAsiaTheme="minorEastAsia" w:hAnsi="Arial" w:cs="Times New Roman"/>
          <w:b/>
          <w:bCs/>
          <w:lang w:val="en-GB" w:eastAsia="en-GB"/>
        </w:rPr>
        <w:lastRenderedPageBreak/>
        <w:t>Avaliação</w:t>
      </w:r>
      <w:proofErr w:type="spellEnd"/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/>
          <w:lang w:val="en-GB"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vanish/>
          <w:lang w:val="en-GB"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u w:val="single"/>
          <w:lang w:eastAsia="en-GB"/>
        </w:rPr>
      </w:pPr>
      <w:r w:rsidRPr="00E11B90">
        <w:rPr>
          <w:rFonts w:ascii="Arial" w:eastAsiaTheme="minorEastAsia" w:hAnsi="Arial" w:cs="Times New Roman"/>
          <w:bCs/>
          <w:u w:val="single"/>
          <w:lang w:eastAsia="en-GB"/>
        </w:rPr>
        <w:t>Método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u w:val="single"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A avaliação será realizada por um ou mais dos seguintes meios:</w:t>
      </w:r>
    </w:p>
    <w:p w:rsidR="00E11B90" w:rsidRPr="009027D7" w:rsidRDefault="00E11B90" w:rsidP="009027D7">
      <w:pPr>
        <w:pStyle w:val="PargrafodaLista"/>
        <w:numPr>
          <w:ilvl w:val="0"/>
          <w:numId w:val="9"/>
        </w:numPr>
        <w:spacing w:after="0" w:line="240" w:lineRule="auto"/>
        <w:rPr>
          <w:rFonts w:ascii="Arial" w:hAnsi="Arial"/>
          <w:bCs/>
        </w:rPr>
      </w:pPr>
      <w:proofErr w:type="spellStart"/>
      <w:r w:rsidRPr="009027D7">
        <w:rPr>
          <w:rFonts w:ascii="Arial" w:hAnsi="Arial"/>
          <w:bCs/>
        </w:rPr>
        <w:t>provas</w:t>
      </w:r>
      <w:proofErr w:type="spellEnd"/>
      <w:r w:rsidRPr="009027D7">
        <w:rPr>
          <w:rFonts w:ascii="Arial" w:hAnsi="Arial"/>
          <w:bCs/>
        </w:rPr>
        <w:t xml:space="preserve"> </w:t>
      </w:r>
      <w:proofErr w:type="spellStart"/>
      <w:r w:rsidRPr="009027D7">
        <w:rPr>
          <w:rFonts w:ascii="Arial" w:hAnsi="Arial"/>
          <w:bCs/>
        </w:rPr>
        <w:t>individuais</w:t>
      </w:r>
      <w:proofErr w:type="spellEnd"/>
    </w:p>
    <w:p w:rsidR="00E11B90" w:rsidRPr="009027D7" w:rsidRDefault="00776F85" w:rsidP="009027D7">
      <w:pPr>
        <w:pStyle w:val="PargrafodaLista"/>
        <w:numPr>
          <w:ilvl w:val="0"/>
          <w:numId w:val="9"/>
        </w:numPr>
        <w:spacing w:after="0" w:line="240" w:lineRule="auto"/>
        <w:rPr>
          <w:rFonts w:ascii="Arial" w:hAnsi="Arial"/>
          <w:bCs/>
          <w:lang w:val="pt-BR"/>
        </w:rPr>
      </w:pPr>
      <w:r>
        <w:rPr>
          <w:rFonts w:ascii="Arial" w:hAnsi="Arial"/>
          <w:bCs/>
          <w:lang w:val="pt-BR"/>
        </w:rPr>
        <w:t xml:space="preserve">resenhas, </w:t>
      </w:r>
      <w:r w:rsidR="00E11B90" w:rsidRPr="009027D7">
        <w:rPr>
          <w:rFonts w:ascii="Arial" w:hAnsi="Arial"/>
          <w:bCs/>
          <w:lang w:val="pt-BR"/>
        </w:rPr>
        <w:t xml:space="preserve">trabalhos </w:t>
      </w:r>
      <w:bookmarkStart w:id="0" w:name="_GoBack"/>
      <w:bookmarkEnd w:id="0"/>
      <w:r w:rsidR="00E11B90" w:rsidRPr="009027D7">
        <w:rPr>
          <w:rFonts w:ascii="Arial" w:hAnsi="Arial"/>
          <w:bCs/>
          <w:lang w:val="pt-BR"/>
        </w:rPr>
        <w:t>ou exercícios realizados individualmente ou em grupo</w:t>
      </w:r>
    </w:p>
    <w:p w:rsidR="00E11B90" w:rsidRPr="009027D7" w:rsidRDefault="00E11B90" w:rsidP="009027D7">
      <w:pPr>
        <w:pStyle w:val="PargrafodaLista"/>
        <w:numPr>
          <w:ilvl w:val="0"/>
          <w:numId w:val="9"/>
        </w:numPr>
        <w:spacing w:after="0" w:line="240" w:lineRule="auto"/>
        <w:rPr>
          <w:rFonts w:ascii="Arial" w:hAnsi="Arial"/>
          <w:bCs/>
          <w:lang w:val="pt-BR"/>
        </w:rPr>
      </w:pPr>
      <w:r w:rsidRPr="009027D7">
        <w:rPr>
          <w:rFonts w:ascii="Arial" w:hAnsi="Arial"/>
          <w:bCs/>
          <w:lang w:val="pt-BR"/>
        </w:rPr>
        <w:t>estudos de casos realizados individualmente ou em grupo</w:t>
      </w:r>
    </w:p>
    <w:p w:rsidR="00E11B90" w:rsidRPr="009027D7" w:rsidRDefault="00E11B90" w:rsidP="009027D7">
      <w:pPr>
        <w:pStyle w:val="PargrafodaLista"/>
        <w:numPr>
          <w:ilvl w:val="0"/>
          <w:numId w:val="9"/>
        </w:numPr>
        <w:spacing w:after="0" w:line="240" w:lineRule="auto"/>
        <w:rPr>
          <w:rFonts w:ascii="Arial" w:hAnsi="Arial"/>
          <w:bCs/>
          <w:lang w:val="pt-BR"/>
        </w:rPr>
      </w:pPr>
      <w:r w:rsidRPr="009027D7">
        <w:rPr>
          <w:rFonts w:ascii="Arial" w:hAnsi="Arial"/>
          <w:bCs/>
          <w:lang w:val="pt-BR"/>
        </w:rPr>
        <w:t xml:space="preserve">apresentação de seminários realizados individualmente ou em grupo </w:t>
      </w:r>
    </w:p>
    <w:p w:rsidR="00E11B90" w:rsidRPr="009027D7" w:rsidRDefault="00E11B90" w:rsidP="009027D7">
      <w:pPr>
        <w:pStyle w:val="PargrafodaLista"/>
        <w:numPr>
          <w:ilvl w:val="0"/>
          <w:numId w:val="9"/>
        </w:numPr>
        <w:spacing w:after="0" w:line="240" w:lineRule="auto"/>
        <w:rPr>
          <w:rFonts w:ascii="Arial" w:hAnsi="Arial"/>
          <w:bCs/>
        </w:rPr>
      </w:pPr>
      <w:proofErr w:type="spellStart"/>
      <w:r w:rsidRPr="009027D7">
        <w:rPr>
          <w:rFonts w:ascii="Arial" w:hAnsi="Arial"/>
          <w:bCs/>
        </w:rPr>
        <w:t>elaboração</w:t>
      </w:r>
      <w:proofErr w:type="spellEnd"/>
      <w:r w:rsidRPr="009027D7">
        <w:rPr>
          <w:rFonts w:ascii="Arial" w:hAnsi="Arial"/>
          <w:bCs/>
        </w:rPr>
        <w:t xml:space="preserve"> de </w:t>
      </w:r>
      <w:proofErr w:type="spellStart"/>
      <w:r w:rsidRPr="009027D7">
        <w:rPr>
          <w:rFonts w:ascii="Arial" w:hAnsi="Arial"/>
          <w:bCs/>
        </w:rPr>
        <w:t>proposta</w:t>
      </w:r>
      <w:proofErr w:type="spellEnd"/>
      <w:r w:rsidRPr="009027D7">
        <w:rPr>
          <w:rFonts w:ascii="Arial" w:hAnsi="Arial"/>
          <w:bCs/>
        </w:rPr>
        <w:t xml:space="preserve"> de pesquisa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u w:val="single"/>
          <w:lang w:eastAsia="en-GB"/>
        </w:rPr>
      </w:pPr>
      <w:r w:rsidRPr="00E11B90">
        <w:rPr>
          <w:rFonts w:ascii="Arial" w:eastAsiaTheme="minorEastAsia" w:hAnsi="Arial" w:cs="Times New Roman"/>
          <w:bCs/>
          <w:u w:val="single"/>
          <w:lang w:eastAsia="en-GB"/>
        </w:rPr>
        <w:t>Critério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u w:val="single"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Os critérios de avaliação são:</w:t>
      </w:r>
    </w:p>
    <w:p w:rsidR="00E11B90" w:rsidRDefault="00E11B90" w:rsidP="00E11B90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O aluno será considerado aprovado na disciplina se obtiver nota média final maior ou igual a 5,0 (cinco) e frequência igual ou superior a 70% (setenta por cento).</w:t>
      </w:r>
    </w:p>
    <w:p w:rsidR="009027D7" w:rsidRDefault="009027D7" w:rsidP="00E11B90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>
        <w:rPr>
          <w:rFonts w:ascii="Arial" w:eastAsiaTheme="minorEastAsia" w:hAnsi="Arial" w:cs="Times New Roman"/>
          <w:bCs/>
          <w:lang w:eastAsia="en-GB"/>
        </w:rPr>
        <w:t xml:space="preserve">Pesos </w:t>
      </w:r>
    </w:p>
    <w:p w:rsidR="009027D7" w:rsidRDefault="009027D7" w:rsidP="009027D7">
      <w:pPr>
        <w:numPr>
          <w:ilvl w:val="1"/>
          <w:numId w:val="2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>
        <w:rPr>
          <w:rFonts w:ascii="Arial" w:eastAsiaTheme="minorEastAsia" w:hAnsi="Arial" w:cs="Times New Roman"/>
          <w:bCs/>
          <w:lang w:eastAsia="en-GB"/>
        </w:rPr>
        <w:t xml:space="preserve">Provas: 40%; </w:t>
      </w:r>
    </w:p>
    <w:p w:rsidR="009027D7" w:rsidRDefault="009027D7" w:rsidP="009027D7">
      <w:pPr>
        <w:numPr>
          <w:ilvl w:val="1"/>
          <w:numId w:val="2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>
        <w:rPr>
          <w:rFonts w:ascii="Arial" w:eastAsiaTheme="minorEastAsia" w:hAnsi="Arial" w:cs="Times New Roman"/>
          <w:bCs/>
          <w:lang w:eastAsia="en-GB"/>
        </w:rPr>
        <w:t xml:space="preserve">Exercícios e estudos de Casos (presencial e </w:t>
      </w:r>
      <w:proofErr w:type="spellStart"/>
      <w:r>
        <w:rPr>
          <w:rFonts w:ascii="Arial" w:eastAsiaTheme="minorEastAsia" w:hAnsi="Arial" w:cs="Times New Roman"/>
          <w:bCs/>
          <w:lang w:eastAsia="en-GB"/>
        </w:rPr>
        <w:t>EaD</w:t>
      </w:r>
      <w:proofErr w:type="spellEnd"/>
      <w:r>
        <w:rPr>
          <w:rFonts w:ascii="Arial" w:eastAsiaTheme="minorEastAsia" w:hAnsi="Arial" w:cs="Times New Roman"/>
          <w:bCs/>
          <w:lang w:eastAsia="en-GB"/>
        </w:rPr>
        <w:t xml:space="preserve">): 25%, </w:t>
      </w:r>
    </w:p>
    <w:p w:rsidR="009027D7" w:rsidRDefault="009027D7" w:rsidP="009027D7">
      <w:pPr>
        <w:numPr>
          <w:ilvl w:val="1"/>
          <w:numId w:val="2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>
        <w:rPr>
          <w:rFonts w:ascii="Arial" w:eastAsiaTheme="minorEastAsia" w:hAnsi="Arial" w:cs="Times New Roman"/>
          <w:bCs/>
          <w:lang w:eastAsia="en-GB"/>
        </w:rPr>
        <w:t>Seminários: 25%</w:t>
      </w:r>
    </w:p>
    <w:p w:rsidR="009027D7" w:rsidRPr="00E11B90" w:rsidRDefault="009027D7" w:rsidP="009027D7">
      <w:pPr>
        <w:numPr>
          <w:ilvl w:val="1"/>
          <w:numId w:val="2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>
        <w:rPr>
          <w:rFonts w:ascii="Arial" w:eastAsiaTheme="minorEastAsia" w:hAnsi="Arial" w:cs="Times New Roman"/>
          <w:bCs/>
          <w:lang w:eastAsia="en-GB"/>
        </w:rPr>
        <w:t>Participação + Frequência + Elaboração de Proposta de Pesquisa: 10%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lang w:eastAsia="en-GB"/>
        </w:rPr>
      </w:pPr>
    </w:p>
    <w:p w:rsidR="00E11B90" w:rsidRPr="00E11B90" w:rsidRDefault="00E11B90" w:rsidP="00E11B90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O aluno será considerado reprovado na disciplina se obtiver nota média final menor que 3,0 (três) e/ou frequência inferior a 70% (setenta por cento).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u w:val="single"/>
          <w:lang w:eastAsia="en-GB"/>
        </w:rPr>
      </w:pPr>
      <w:r w:rsidRPr="00E11B90">
        <w:rPr>
          <w:rFonts w:ascii="Arial" w:eastAsiaTheme="minorEastAsia" w:hAnsi="Arial" w:cs="Times New Roman"/>
          <w:bCs/>
          <w:u w:val="single"/>
          <w:lang w:eastAsia="en-GB"/>
        </w:rPr>
        <w:t>Norma de Recuperação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u w:val="single"/>
          <w:lang w:eastAsia="en-GB"/>
        </w:rPr>
      </w:pPr>
    </w:p>
    <w:p w:rsidR="00E11B90" w:rsidRPr="00E11B90" w:rsidRDefault="00E11B90" w:rsidP="00E11B90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O aluno poderá participar do processo de reavaliação (recuperação) na disciplina caso obtenha nota média final maior ou igual a 3,0 (três) e menor que 5,0 (cinco) e frequência igual ou superior a 70%.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lang w:eastAsia="en-GB"/>
        </w:rPr>
      </w:pPr>
    </w:p>
    <w:p w:rsidR="00E11B90" w:rsidRPr="00E11B90" w:rsidRDefault="00E11B90" w:rsidP="00E11B90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A média para aprovação com reavaliação será obtida por meio da média aritmética simples da média final + nota obtida na reavaliação, que deverá ser igual ou superior a 5,0 (cinco).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 </w:t>
      </w:r>
    </w:p>
    <w:p w:rsidR="00E11B90" w:rsidRPr="00E11B90" w:rsidRDefault="00E11B90" w:rsidP="00E11B90">
      <w:pPr>
        <w:spacing w:after="200" w:line="276" w:lineRule="auto"/>
        <w:rPr>
          <w:rFonts w:ascii="Arial" w:eastAsiaTheme="minorEastAsia" w:hAnsi="Arial" w:cs="Times New Roman"/>
          <w:b/>
          <w:bCs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br w:type="page"/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/>
          <w:bCs/>
          <w:lang w:eastAsia="en-GB"/>
        </w:rPr>
      </w:pPr>
      <w:r w:rsidRPr="00E11B90">
        <w:rPr>
          <w:rFonts w:ascii="Arial" w:eastAsiaTheme="minorEastAsia" w:hAnsi="Arial" w:cs="Times New Roman"/>
          <w:b/>
          <w:bCs/>
          <w:lang w:eastAsia="en-GB"/>
        </w:rPr>
        <w:lastRenderedPageBreak/>
        <w:t>Bibliografia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/>
          <w:bCs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u w:val="single"/>
          <w:lang w:eastAsia="en-GB"/>
        </w:rPr>
      </w:pPr>
      <w:r w:rsidRPr="00E11B90">
        <w:rPr>
          <w:rFonts w:ascii="Arial" w:eastAsiaTheme="minorEastAsia" w:hAnsi="Arial" w:cs="Times New Roman"/>
          <w:bCs/>
          <w:u w:val="single"/>
          <w:lang w:eastAsia="en-GB"/>
        </w:rPr>
        <w:t>Bibliografia Principal</w:t>
      </w: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u w:val="single"/>
          <w:lang w:eastAsia="en-GB"/>
        </w:rPr>
      </w:pPr>
    </w:p>
    <w:p w:rsidR="00E11B90" w:rsidRPr="00E11B90" w:rsidRDefault="00E11B90" w:rsidP="00E11B90">
      <w:pPr>
        <w:spacing w:after="0" w:line="240" w:lineRule="auto"/>
        <w:rPr>
          <w:rFonts w:ascii="Arial" w:eastAsiaTheme="minorEastAsia" w:hAnsi="Arial" w:cs="Times New Roman"/>
          <w:bCs/>
          <w:u w:val="single"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CPC 00 - Estrutura Conceitual para Elaboração e Divulgação de Relatório Contábil-Financeiro. </w:t>
      </w:r>
    </w:p>
    <w:p w:rsidR="00E11B90" w:rsidRPr="00E11B90" w:rsidRDefault="00E11B90" w:rsidP="00E11B90">
      <w:pPr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</w:p>
    <w:p w:rsidR="00E11B90" w:rsidRPr="00E11B90" w:rsidRDefault="00E11B90" w:rsidP="00E11B90">
      <w:pPr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HENDRIKSEN,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Eldon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S.; VAN BREDA, Michael F. Teoria da Contabilidade. </w:t>
      </w:r>
      <w:proofErr w:type="spellStart"/>
      <w:r w:rsidRPr="00E11B90">
        <w:rPr>
          <w:rFonts w:ascii="Arial" w:eastAsiaTheme="minorEastAsia" w:hAnsi="Arial" w:cs="Times New Roman"/>
          <w:bCs/>
          <w:lang w:val="en-US" w:eastAsia="en-GB"/>
        </w:rPr>
        <w:t>Tradução</w:t>
      </w:r>
      <w:proofErr w:type="spellEnd"/>
      <w:r w:rsidRPr="00E11B90">
        <w:rPr>
          <w:rFonts w:ascii="Arial" w:eastAsiaTheme="minorEastAsia" w:hAnsi="Arial" w:cs="Times New Roman"/>
          <w:bCs/>
          <w:lang w:val="en-US" w:eastAsia="en-GB"/>
        </w:rPr>
        <w:t xml:space="preserve"> de Antonio </w:t>
      </w:r>
      <w:proofErr w:type="spellStart"/>
      <w:r w:rsidRPr="00E11B90">
        <w:rPr>
          <w:rFonts w:ascii="Arial" w:eastAsiaTheme="minorEastAsia" w:hAnsi="Arial" w:cs="Times New Roman"/>
          <w:bCs/>
          <w:lang w:val="en-US" w:eastAsia="en-GB"/>
        </w:rPr>
        <w:t>Zoratto</w:t>
      </w:r>
      <w:proofErr w:type="spellEnd"/>
      <w:r w:rsidRPr="00E11B90">
        <w:rPr>
          <w:rFonts w:ascii="Arial" w:eastAsiaTheme="minorEastAsia" w:hAnsi="Arial" w:cs="Times New Roman"/>
          <w:bCs/>
          <w:lang w:val="en-US"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val="en-US" w:eastAsia="en-GB"/>
        </w:rPr>
        <w:t>Sanvicente</w:t>
      </w:r>
      <w:proofErr w:type="spellEnd"/>
      <w:r w:rsidRPr="00E11B90">
        <w:rPr>
          <w:rFonts w:ascii="Arial" w:eastAsiaTheme="minorEastAsia" w:hAnsi="Arial" w:cs="Times New Roman"/>
          <w:bCs/>
          <w:lang w:val="en-US" w:eastAsia="en-GB"/>
        </w:rPr>
        <w:t xml:space="preserve">. 5. ed. São </w:t>
      </w:r>
      <w:proofErr w:type="gramStart"/>
      <w:r w:rsidRPr="00E11B90">
        <w:rPr>
          <w:rFonts w:ascii="Arial" w:eastAsiaTheme="minorEastAsia" w:hAnsi="Arial" w:cs="Times New Roman"/>
          <w:bCs/>
          <w:lang w:val="en-US" w:eastAsia="en-GB"/>
        </w:rPr>
        <w:t>Paulo :</w:t>
      </w:r>
      <w:proofErr w:type="gramEnd"/>
      <w:r w:rsidRPr="00E11B90">
        <w:rPr>
          <w:rFonts w:ascii="Arial" w:eastAsiaTheme="minorEastAsia" w:hAnsi="Arial" w:cs="Times New Roman"/>
          <w:bCs/>
          <w:lang w:val="en-US" w:eastAsia="en-GB"/>
        </w:rPr>
        <w:t xml:space="preserve"> Atlas, 2011.</w:t>
      </w:r>
      <w:r w:rsidRPr="00E11B90">
        <w:rPr>
          <w:rFonts w:ascii="Arial" w:eastAsiaTheme="minorEastAsia" w:hAnsi="Arial" w:cs="Times New Roman"/>
          <w:bCs/>
          <w:lang w:val="en-US" w:eastAsia="en-GB"/>
        </w:rPr>
        <w:br/>
      </w:r>
    </w:p>
    <w:p w:rsidR="00E11B90" w:rsidRPr="00E11B90" w:rsidRDefault="00E11B90" w:rsidP="00E11B90">
      <w:pPr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IASB - International Accounting Standards Board. Framework for the Preparation and Presentation of Financial Statements. </w:t>
      </w:r>
      <w:r w:rsidRPr="00E11B90">
        <w:rPr>
          <w:rFonts w:ascii="Arial" w:eastAsiaTheme="minorEastAsia" w:hAnsi="Arial" w:cs="Times New Roman"/>
          <w:bCs/>
          <w:lang w:eastAsia="en-GB"/>
        </w:rPr>
        <w:t>Londres: IASC, edições anuais.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IUDÍCIBUS, Sérgio de; LOPES, Alexsandro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Broedel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>. Teoria avançada da Contabilidade. São Paulo: Atlas, 2004.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IUDÍCIBUS, Sérgio de. Teoria da Contabilidade. </w:t>
      </w:r>
      <w:proofErr w:type="gramStart"/>
      <w:r w:rsidRPr="00E11B90">
        <w:rPr>
          <w:rFonts w:ascii="Arial" w:eastAsiaTheme="minorEastAsia" w:hAnsi="Arial" w:cs="Times New Roman"/>
          <w:bCs/>
          <w:lang w:eastAsia="en-GB"/>
        </w:rPr>
        <w:t>10 ed.</w:t>
      </w:r>
      <w:proofErr w:type="gramEnd"/>
      <w:r w:rsidRPr="00E11B90">
        <w:rPr>
          <w:rFonts w:ascii="Arial" w:eastAsiaTheme="minorEastAsia" w:hAnsi="Arial" w:cs="Times New Roman"/>
          <w:bCs/>
          <w:lang w:eastAsia="en-GB"/>
        </w:rPr>
        <w:t xml:space="preserve"> São Paulo: Atlas, 2010.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US"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LOPES, Alexsandro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Broedel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; MARTINS, Eliseu. Teoria da Contabilidade: uma nova abordagem. </w:t>
      </w:r>
      <w:r w:rsidRPr="00E11B90">
        <w:rPr>
          <w:rFonts w:ascii="Arial" w:eastAsiaTheme="minorEastAsia" w:hAnsi="Arial" w:cs="Times New Roman"/>
          <w:bCs/>
          <w:lang w:val="en-US" w:eastAsia="en-GB"/>
        </w:rPr>
        <w:t>São Paulo: Atlas, 2007.</w:t>
      </w:r>
      <w:r w:rsidRPr="00E11B90">
        <w:rPr>
          <w:rFonts w:ascii="Arial" w:eastAsiaTheme="minorEastAsia" w:hAnsi="Arial" w:cs="Times New Roman"/>
          <w:bCs/>
          <w:lang w:val="en-US" w:eastAsia="en-GB"/>
        </w:rPr>
        <w:br/>
      </w:r>
    </w:p>
    <w:p w:rsidR="00E11B90" w:rsidRPr="00E11B90" w:rsidRDefault="00E11B90" w:rsidP="00E11B90">
      <w:pPr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US" w:eastAsia="en-GB"/>
        </w:rPr>
        <w:t xml:space="preserve">WATTS, Ross L. &amp; ZIMMERMAN, Jerald L. Positive accounting theory. </w:t>
      </w:r>
      <w:r w:rsidRPr="00E11B90">
        <w:rPr>
          <w:rFonts w:ascii="Arial" w:eastAsiaTheme="minorEastAsia" w:hAnsi="Arial" w:cs="Times New Roman"/>
          <w:bCs/>
          <w:lang w:val="en-GB" w:eastAsia="en-GB"/>
        </w:rPr>
        <w:t>1996.</w:t>
      </w: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</w:p>
    <w:p w:rsidR="00E11B90" w:rsidRPr="00E11B90" w:rsidRDefault="00E11B90" w:rsidP="00E11B90">
      <w:pPr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>SCOTT – COLOCAR REFERÊNCIA</w:t>
      </w:r>
    </w:p>
    <w:p w:rsidR="00E11B90" w:rsidRPr="00E11B90" w:rsidRDefault="00E11B90" w:rsidP="00E11B90">
      <w:pPr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</w:p>
    <w:p w:rsidR="00E11B90" w:rsidRPr="00E11B90" w:rsidRDefault="00E11B90" w:rsidP="00E11B90">
      <w:pPr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u w:val="single"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  <w:proofErr w:type="spellStart"/>
      <w:r w:rsidRPr="00E11B90">
        <w:rPr>
          <w:rFonts w:ascii="Arial" w:eastAsiaTheme="minorEastAsia" w:hAnsi="Arial" w:cs="Times New Roman"/>
          <w:bCs/>
          <w:u w:val="single"/>
          <w:lang w:val="en-GB" w:eastAsia="en-GB"/>
        </w:rPr>
        <w:t>Bibliografia</w:t>
      </w:r>
      <w:proofErr w:type="spellEnd"/>
      <w:r w:rsidRPr="00E11B90">
        <w:rPr>
          <w:rFonts w:ascii="Arial" w:eastAsiaTheme="minorEastAsia" w:hAnsi="Arial" w:cs="Times New Roman"/>
          <w:bCs/>
          <w:u w:val="single"/>
          <w:lang w:val="en-GB"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u w:val="single"/>
          <w:lang w:val="en-GB" w:eastAsia="en-GB"/>
        </w:rPr>
        <w:t>Complementar</w:t>
      </w:r>
      <w:proofErr w:type="spellEnd"/>
      <w:r w:rsidRPr="00E11B90">
        <w:rPr>
          <w:rFonts w:ascii="Arial" w:eastAsiaTheme="minorEastAsia" w:hAnsi="Arial" w:cs="Times New Roman"/>
          <w:bCs/>
          <w:u w:val="single"/>
          <w:lang w:val="en-GB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AKERLOF, George A. The market for ‘Lemons”: quality uncertainty and the market mechanism.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Quarterly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Journal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of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Economics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>, 84 (3), 1970.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ALENCAR, Roberta Carvalho de. Nível de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disclosure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e custo de capital próprio no mercado brasileiro. 2008. 104 f. Tese (Doutorado em Controladoria e Contabilidade) – Faculdade de Economia, Administração e Contabilidade, Universidade de São Paulo (USP), São Paulo, 2008.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ALMEIDA, José Elias Feres de.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Earnings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management no Brasil: estudo empírico em indústrias e grupos estratégicos. 2006. 74 f. Dissertação (Mestrado em Ciências Contábeis) – Programa de Pós-Graduação em Ciências Contábeis, Fundação Instituto Capixaba de Pesquisas em Contabilidade, Economia e Finanças (FUCAPE), Vitória, 2006.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>BALL, Ray. J.; BROWN. An empirical evaluation of accounting income numbers. Journal of Accounting Research, vol. 6, pp. 159-178, Autumn 1968.</w:t>
      </w: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>BARTH, M. E.; BEAVER, W. H.; HAND, J. R. M.; LANDSMAN, W. R. Accruals, cash flows, and equity values. Review of Accounting Studies, 3, pp. 205-229. 1999.</w:t>
      </w: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BASU,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Sudipta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. The conservatism principle and the asymmetric timeliness of earnings. Journal of Accounting and Economics. Amsterdam, v. 24, n. 1, p. 3-37,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december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>, 1997.</w:t>
      </w: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>BOTOSAN, Christine A. Disclosure level and the cost of equity capital. The Accounting Review. Vol 72, n. 3, 1997, p. 323-349.</w:t>
      </w: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>BUSHMAN, R. M.; SMITH, A. J. Financial accounting information and corporate governance. Journal of Accounting and Economics, vol. 32, n. 1-3, pp. 237-333. 2001.</w:t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CARVALHO, L. Nelson; WEFFORT,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Elionor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 J.,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Salotti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, Bruno. Compliance: Brazil. In </w:t>
      </w:r>
      <w:r w:rsidRPr="00E11B90">
        <w:rPr>
          <w:rFonts w:ascii="Arial" w:eastAsiaTheme="minorEastAsia" w:hAnsi="Arial" w:cs="Times New Roman"/>
          <w:bCs/>
          <w:i/>
          <w:lang w:val="en-GB" w:eastAsia="en-GB"/>
        </w:rPr>
        <w:t xml:space="preserve">Governance, Risk and Compliance Handbook.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Editado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por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 Anthony Tarantino, John Wiley &amp; Sons, Inc. Hoboken, New Jersey, EEUU, 2008.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Páginas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 731 a 741.</w:t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CARVALHO, L. Nelson; RICARDINO, A.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Capítulo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sobre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o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 Brasil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em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: </w:t>
      </w:r>
      <w:r w:rsidRPr="00E11B90">
        <w:rPr>
          <w:rFonts w:ascii="Arial" w:eastAsiaTheme="minorEastAsia" w:hAnsi="Arial" w:cs="Times New Roman"/>
          <w:lang w:val="en-GB" w:eastAsia="en-GB"/>
        </w:rPr>
        <w:t>A Global History of Accounting, Financial Reporting and Public Policy - The Americas.</w:t>
      </w:r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 </w:t>
      </w:r>
      <w:r w:rsidRPr="00E11B90">
        <w:rPr>
          <w:rFonts w:ascii="Arial" w:eastAsiaTheme="minorEastAsia" w:hAnsi="Arial" w:cs="Times New Roman"/>
          <w:lang w:val="en-GB" w:eastAsia="en-GB"/>
        </w:rPr>
        <w:t xml:space="preserve">Contributor(s): </w:t>
      </w:r>
      <w:hyperlink r:id="rId5" w:history="1">
        <w:r w:rsidRPr="00E11B90">
          <w:rPr>
            <w:rFonts w:ascii="Arial" w:eastAsiaTheme="minorEastAsia" w:hAnsi="Arial" w:cs="Times New Roman"/>
            <w:color w:val="0563C1" w:themeColor="hyperlink"/>
            <w:u w:val="single"/>
            <w:lang w:val="en-GB" w:eastAsia="en-GB"/>
          </w:rPr>
          <w:t xml:space="preserve">Gary J. </w:t>
        </w:r>
        <w:proofErr w:type="spellStart"/>
        <w:r w:rsidRPr="00E11B90">
          <w:rPr>
            <w:rFonts w:ascii="Arial" w:eastAsiaTheme="minorEastAsia" w:hAnsi="Arial" w:cs="Times New Roman"/>
            <w:color w:val="0563C1" w:themeColor="hyperlink"/>
            <w:u w:val="single"/>
            <w:lang w:val="en-GB" w:eastAsia="en-GB"/>
          </w:rPr>
          <w:t>Previts</w:t>
        </w:r>
        <w:proofErr w:type="spellEnd"/>
        <w:r w:rsidRPr="00E11B90">
          <w:rPr>
            <w:rFonts w:ascii="Arial" w:eastAsiaTheme="minorEastAsia" w:hAnsi="Arial" w:cs="Times New Roman"/>
            <w:color w:val="0563C1" w:themeColor="hyperlink"/>
            <w:u w:val="single"/>
            <w:lang w:val="en-GB" w:eastAsia="en-GB"/>
          </w:rPr>
          <w:t xml:space="preserve"> (editor)</w:t>
        </w:r>
      </w:hyperlink>
      <w:r w:rsidRPr="00E11B90">
        <w:rPr>
          <w:rFonts w:ascii="Arial" w:eastAsiaTheme="minorEastAsia" w:hAnsi="Arial" w:cs="Times New Roman"/>
          <w:lang w:val="en-GB" w:eastAsia="en-GB"/>
        </w:rPr>
        <w:t xml:space="preserve">, </w:t>
      </w:r>
      <w:hyperlink r:id="rId6" w:history="1">
        <w:r w:rsidRPr="00E11B90">
          <w:rPr>
            <w:rFonts w:ascii="Arial" w:eastAsiaTheme="minorEastAsia" w:hAnsi="Arial" w:cs="Times New Roman"/>
            <w:color w:val="0563C1" w:themeColor="hyperlink"/>
            <w:u w:val="single"/>
            <w:lang w:val="en-GB" w:eastAsia="en-GB"/>
          </w:rPr>
          <w:t>Peter Walton. (editor)</w:t>
        </w:r>
      </w:hyperlink>
      <w:r w:rsidRPr="00E11B90">
        <w:rPr>
          <w:rFonts w:ascii="Arial" w:eastAsiaTheme="minorEastAsia" w:hAnsi="Arial" w:cs="Times New Roman"/>
          <w:lang w:val="en-GB" w:eastAsia="en-GB"/>
        </w:rPr>
        <w:t xml:space="preserve">, </w:t>
      </w:r>
      <w:hyperlink r:id="rId7" w:history="1">
        <w:r w:rsidRPr="00E11B90">
          <w:rPr>
            <w:rFonts w:ascii="Arial" w:eastAsiaTheme="minorEastAsia" w:hAnsi="Arial" w:cs="Times New Roman"/>
            <w:color w:val="0563C1" w:themeColor="hyperlink"/>
            <w:u w:val="single"/>
            <w:lang w:val="en-GB" w:eastAsia="en-GB"/>
          </w:rPr>
          <w:t xml:space="preserve">Peter </w:t>
        </w:r>
        <w:proofErr w:type="spellStart"/>
        <w:r w:rsidRPr="00E11B90">
          <w:rPr>
            <w:rFonts w:ascii="Arial" w:eastAsiaTheme="minorEastAsia" w:hAnsi="Arial" w:cs="Times New Roman"/>
            <w:color w:val="0563C1" w:themeColor="hyperlink"/>
            <w:u w:val="single"/>
            <w:lang w:val="en-GB" w:eastAsia="en-GB"/>
          </w:rPr>
          <w:t>Wolnizer</w:t>
        </w:r>
        <w:proofErr w:type="spellEnd"/>
        <w:r w:rsidRPr="00E11B90">
          <w:rPr>
            <w:rFonts w:ascii="Arial" w:eastAsiaTheme="minorEastAsia" w:hAnsi="Arial" w:cs="Times New Roman"/>
            <w:color w:val="0563C1" w:themeColor="hyperlink"/>
            <w:u w:val="single"/>
            <w:lang w:val="en-GB" w:eastAsia="en-GB"/>
          </w:rPr>
          <w:t xml:space="preserve"> (editor)</w:t>
        </w:r>
      </w:hyperlink>
      <w:r w:rsidRPr="00E11B90">
        <w:rPr>
          <w:rFonts w:ascii="Arial" w:eastAsiaTheme="minorEastAsia" w:hAnsi="Arial" w:cs="Times New Roman"/>
          <w:lang w:val="en-GB" w:eastAsia="en-GB"/>
        </w:rPr>
        <w:t xml:space="preserve">, </w:t>
      </w:r>
      <w:hyperlink r:id="rId8" w:history="1">
        <w:r w:rsidRPr="00E11B90">
          <w:rPr>
            <w:rFonts w:ascii="Arial" w:eastAsiaTheme="minorEastAsia" w:hAnsi="Arial" w:cs="Times New Roman"/>
            <w:color w:val="0563C1" w:themeColor="hyperlink"/>
            <w:u w:val="single"/>
            <w:lang w:val="en-GB" w:eastAsia="en-GB"/>
          </w:rPr>
          <w:t xml:space="preserve">Gary J. </w:t>
        </w:r>
        <w:proofErr w:type="spellStart"/>
        <w:r w:rsidRPr="00E11B90">
          <w:rPr>
            <w:rFonts w:ascii="Arial" w:eastAsiaTheme="minorEastAsia" w:hAnsi="Arial" w:cs="Times New Roman"/>
            <w:color w:val="0563C1" w:themeColor="hyperlink"/>
            <w:u w:val="single"/>
            <w:lang w:val="en-GB" w:eastAsia="en-GB"/>
          </w:rPr>
          <w:t>Previts</w:t>
        </w:r>
        <w:proofErr w:type="spellEnd"/>
        <w:r w:rsidRPr="00E11B90">
          <w:rPr>
            <w:rFonts w:ascii="Arial" w:eastAsiaTheme="minorEastAsia" w:hAnsi="Arial" w:cs="Times New Roman"/>
            <w:color w:val="0563C1" w:themeColor="hyperlink"/>
            <w:u w:val="single"/>
            <w:lang w:val="en-GB" w:eastAsia="en-GB"/>
          </w:rPr>
          <w:t xml:space="preserve"> (series editor)</w:t>
        </w:r>
      </w:hyperlink>
      <w:r w:rsidRPr="00E11B90">
        <w:rPr>
          <w:rFonts w:ascii="Arial" w:eastAsiaTheme="minorEastAsia" w:hAnsi="Arial" w:cs="Times New Roman"/>
          <w:lang w:val="en-GB" w:eastAsia="en-GB"/>
        </w:rPr>
        <w:t xml:space="preserve">, </w:t>
      </w:r>
      <w:hyperlink r:id="rId9" w:history="1">
        <w:r w:rsidRPr="00E11B90">
          <w:rPr>
            <w:rFonts w:ascii="Arial" w:eastAsiaTheme="minorEastAsia" w:hAnsi="Arial" w:cs="Times New Roman"/>
            <w:color w:val="0563C1" w:themeColor="hyperlink"/>
            <w:u w:val="single"/>
            <w:lang w:val="en-GB" w:eastAsia="en-GB"/>
          </w:rPr>
          <w:t>Robert Bricker (series editor)</w:t>
        </w:r>
      </w:hyperlink>
      <w:r w:rsidRPr="00E11B90">
        <w:rPr>
          <w:rFonts w:ascii="Arial" w:eastAsiaTheme="minorEastAsia" w:hAnsi="Arial" w:cs="Times New Roman"/>
          <w:lang w:val="en-GB" w:eastAsia="en-GB"/>
        </w:rPr>
        <w:t>, Emerald Group Publishing Limited</w:t>
      </w:r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, </w:t>
      </w:r>
      <w:r w:rsidRPr="00E11B90">
        <w:rPr>
          <w:rFonts w:ascii="Arial" w:eastAsiaTheme="minorEastAsia" w:hAnsi="Arial" w:cs="Times New Roman"/>
          <w:lang w:val="en-GB" w:eastAsia="en-GB"/>
        </w:rPr>
        <w:t xml:space="preserve"> 2011 </w:t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br/>
        <w:t>COELHO, Antônio Carlos Dias. Qualidade informacional e conservadorismo nos resultados contábeis publicados no Brasil. 2007. Tese (Doutorado em Controladoria e Contabilidade) – Faculdade de Economia, Administração e Contabilidade, Universidade de São Paulo (USP), São Paulo, 2007.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>COSTA, Alessandra Cristina de Oliveira. Conservadorismo e os países da América do Sul: um estudo da aplicação do conservadorismo em cinco países da América do Sul. 2004. 92 f. Dissertação (Mestrado em Ciências Contábeis) – Programa de Pós-Graduação em Ciências Contábeis, Fundação Instituto Capixaba de Pesquisas em Contabilidade, Economia e Finanças (FUCAPE), Vitória, 2004.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DALMÁCIO, Flávia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Zóboli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>. A relação entre a performance (risco x retorno) e a remuneração atribuída às instituições administradoras dos fundos de ações ativos brasileiros: uma abordagem à luz da teoria de agência. 2004. 244 f. Dissertação (Mestrado em Ciências Contábeis) – Programa de Pós-Graduação em Ciências Contábeis, Fundação Instituto Capixaba de Pesquisas em Contabilidade, Economia e Finanças (FUCAPE), Vitória, 2004.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>DECHOW, P. M.; DICHEV, I. D. The quality of accruals and earnings: the role of accrual estimation errors. The Accounting Review, vol. 77, supplement, pp. 35-59, 2002.</w:t>
      </w: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>FASB Concepts Statements Financial Accounting Standards Board. Statement of Financial.</w:t>
      </w: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JENSEN, Michael C.; MECKLING, William H. Theory of the firm: managerial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behavior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>, agency costs and ownership structure. Journal of Financial Economics, v. 3, p. 305-360, 1976.</w:t>
      </w: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>LAMBERT, Richard A. Contracting Theory and Accounting. Journal of Accounting and Economics, v. 32, Issues 1-3, December 2001, p. 3-87.</w:t>
      </w: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LIMA, Gerlando Augusto Sampaio Franco de. Utilização da teoria da divulgação para avaliação da relação do nível de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disclosure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com o custo da dívida das empresas brasileiras. Tese (Doutorado em Controladoria e Contabilidade) – Faculdade de Economia, Administração e Contabilidade, Universidade de São Paulo (USP), São Paulo, 2007.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US"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LOPES, Alexsandro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Broedel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. A informação contábil e o mercado de capitais. </w:t>
      </w:r>
      <w:r w:rsidRPr="00E11B90">
        <w:rPr>
          <w:rFonts w:ascii="Arial" w:eastAsiaTheme="minorEastAsia" w:hAnsi="Arial" w:cs="Times New Roman"/>
          <w:bCs/>
          <w:lang w:val="en-US" w:eastAsia="en-GB"/>
        </w:rPr>
        <w:t>Thomson, 2002.</w:t>
      </w:r>
      <w:r w:rsidRPr="00E11B90">
        <w:rPr>
          <w:rFonts w:ascii="Arial" w:eastAsiaTheme="minorEastAsia" w:hAnsi="Arial" w:cs="Times New Roman"/>
          <w:bCs/>
          <w:lang w:val="en-US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val="en-US" w:eastAsia="en-GB"/>
        </w:rPr>
        <w:t xml:space="preserve">LOPES, </w:t>
      </w:r>
      <w:proofErr w:type="spellStart"/>
      <w:r w:rsidRPr="00E11B90">
        <w:rPr>
          <w:rFonts w:ascii="Arial" w:eastAsiaTheme="minorEastAsia" w:hAnsi="Arial" w:cs="Times New Roman"/>
          <w:bCs/>
          <w:lang w:val="en-US" w:eastAsia="en-GB"/>
        </w:rPr>
        <w:t>Alexsandro</w:t>
      </w:r>
      <w:proofErr w:type="spellEnd"/>
      <w:r w:rsidRPr="00E11B90">
        <w:rPr>
          <w:rFonts w:ascii="Arial" w:eastAsiaTheme="minorEastAsia" w:hAnsi="Arial" w:cs="Times New Roman"/>
          <w:bCs/>
          <w:lang w:val="en-US"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val="en-US" w:eastAsia="en-GB"/>
        </w:rPr>
        <w:t>Broedel</w:t>
      </w:r>
      <w:proofErr w:type="spellEnd"/>
      <w:r w:rsidRPr="00E11B90">
        <w:rPr>
          <w:rFonts w:ascii="Arial" w:eastAsiaTheme="minorEastAsia" w:hAnsi="Arial" w:cs="Times New Roman"/>
          <w:bCs/>
          <w:lang w:val="en-US" w:eastAsia="en-GB"/>
        </w:rPr>
        <w:t xml:space="preserve">; WALKER, Martin. </w:t>
      </w:r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Firm-level incentives and the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informativeness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 of accounting reports: an experiment in Brazil.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Working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Paper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. 2008. Disponível em: &lt; </w:t>
      </w:r>
      <w:hyperlink r:id="rId10" w:history="1">
        <w:r w:rsidRPr="00E11B90">
          <w:rPr>
            <w:rFonts w:ascii="Arial" w:eastAsiaTheme="minorEastAsia" w:hAnsi="Arial" w:cs="Times New Roman"/>
            <w:u w:val="single"/>
            <w:lang w:eastAsia="en-GB"/>
          </w:rPr>
          <w:t>http://ssrn.com/abstract=1095781</w:t>
        </w:r>
      </w:hyperlink>
      <w:r w:rsidRPr="00E11B90">
        <w:rPr>
          <w:rFonts w:ascii="Arial" w:eastAsiaTheme="minorEastAsia" w:hAnsi="Arial" w:cs="Times New Roman"/>
          <w:bCs/>
          <w:lang w:eastAsia="en-GB"/>
        </w:rPr>
        <w:t>&gt;.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lastRenderedPageBreak/>
        <w:t xml:space="preserve">MALACRIDA, Mara Jane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Contrera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>. A relevância do lucro líquido versus fluxo de caixa operacional para o mercado de ações brasileiro. Tese (Doutorado em Controladoria e Contabilidade) – Faculdade de Economia, Administração e Contabilidade, Universidade de São Paulo (USP), São Paulo, 2009.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MARTINEZ,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Antonio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Lopo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>. Gerenciamento dos resultados contábeis: estudo empírico das companhias abertas brasileiras. 2001. Tese [Doutorado em Controladoria e Contabilidade] – Faculdade de Economia, Administração e Contabilidade da Universidade de São Paulo. 2001.</w:t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br/>
        <w:t>PAULO, Edilson. Manipulação das informações contábeis: uma análise teórica e empírica sobre os modelos operacionais de detecção de gerenciamento de resultados. 2007. Tese [Doutorado em Controladoria e Contabilidade] – Faculdade de Economia, Administração e Contabilidade da Universidade de São Paulo. 2007.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eastAsia="en-GB"/>
        </w:rPr>
      </w:pPr>
      <w:r w:rsidRPr="00E11B90">
        <w:rPr>
          <w:rFonts w:ascii="Arial" w:eastAsiaTheme="minorEastAsia" w:hAnsi="Arial" w:cs="Times New Roman"/>
          <w:bCs/>
          <w:lang w:eastAsia="en-GB"/>
        </w:rPr>
        <w:t xml:space="preserve">SANT’ANNA,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Dimitri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Pinheiro de. A relevância das informações contábeis na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bovespa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: avaliação dos modelos de residual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income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valuation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e abnormal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earnings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 xml:space="preserve"> </w:t>
      </w:r>
      <w:proofErr w:type="spellStart"/>
      <w:r w:rsidRPr="00E11B90">
        <w:rPr>
          <w:rFonts w:ascii="Arial" w:eastAsiaTheme="minorEastAsia" w:hAnsi="Arial" w:cs="Times New Roman"/>
          <w:bCs/>
          <w:lang w:eastAsia="en-GB"/>
        </w:rPr>
        <w:t>growth</w:t>
      </w:r>
      <w:proofErr w:type="spellEnd"/>
      <w:r w:rsidRPr="00E11B90">
        <w:rPr>
          <w:rFonts w:ascii="Arial" w:eastAsiaTheme="minorEastAsia" w:hAnsi="Arial" w:cs="Times New Roman"/>
          <w:bCs/>
          <w:lang w:eastAsia="en-GB"/>
        </w:rPr>
        <w:t>. 2004. 149 f. Dissertação (Mestrado em Ciências Contábeis) – Programa de Pós-Graduação em Ciências Contábeis, Fundação Instituto Capixaba de Pesquisas em Contabilidade, Economia e Finanças (FUCAPE), Vitória, 2004.</w:t>
      </w:r>
      <w:r w:rsidRPr="00E11B90">
        <w:rPr>
          <w:rFonts w:ascii="Arial" w:eastAsiaTheme="minorEastAsia" w:hAnsi="Arial" w:cs="Times New Roman"/>
          <w:bCs/>
          <w:lang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>SCHLEIFER, Andrey; VISHNY, Robert. A survey on corporate governance. The Journal of Finance, v. 52 (2), p. 737-783, 1997.</w:t>
      </w: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>SLOAN, Richard G. Financial accounting and corporate governance: a discussion. Journal of Accounting and Economics, vol. 32, pp. 335–347, 2001.</w:t>
      </w: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bCs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>VERRECCHIA, Robert E. Essays on disclosure. Journal of Accounting and Economics, n. 32, p. 97-180, 2001.</w:t>
      </w:r>
      <w:r w:rsidRPr="00E11B90">
        <w:rPr>
          <w:rFonts w:ascii="Arial" w:eastAsiaTheme="minorEastAsia" w:hAnsi="Arial" w:cs="Times New Roman"/>
          <w:bCs/>
          <w:lang w:val="en-GB" w:eastAsia="en-GB"/>
        </w:rPr>
        <w:br/>
      </w:r>
    </w:p>
    <w:p w:rsidR="00E11B90" w:rsidRPr="00E11B90" w:rsidRDefault="00E11B90" w:rsidP="00E11B90">
      <w:pPr>
        <w:keepLines/>
        <w:widowControl w:val="0"/>
        <w:tabs>
          <w:tab w:val="left" w:pos="126"/>
        </w:tabs>
        <w:spacing w:after="0" w:line="240" w:lineRule="auto"/>
        <w:ind w:left="45"/>
        <w:rPr>
          <w:rFonts w:ascii="Arial" w:eastAsiaTheme="minorEastAsia" w:hAnsi="Arial" w:cs="Times New Roman"/>
          <w:lang w:val="en-GB" w:eastAsia="en-GB"/>
        </w:rPr>
      </w:pPr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WATTS, Ross L. &amp; ZIMMERMAN, Jerald. L. Towards a positive theory of the determination of accounting standards. The Accounting Review, </w:t>
      </w:r>
      <w:proofErr w:type="spellStart"/>
      <w:r w:rsidRPr="00E11B90">
        <w:rPr>
          <w:rFonts w:ascii="Arial" w:eastAsiaTheme="minorEastAsia" w:hAnsi="Arial" w:cs="Times New Roman"/>
          <w:bCs/>
          <w:lang w:val="en-GB" w:eastAsia="en-GB"/>
        </w:rPr>
        <w:t>vol</w:t>
      </w:r>
      <w:proofErr w:type="spellEnd"/>
      <w:r w:rsidRPr="00E11B90">
        <w:rPr>
          <w:rFonts w:ascii="Arial" w:eastAsiaTheme="minorEastAsia" w:hAnsi="Arial" w:cs="Times New Roman"/>
          <w:bCs/>
          <w:lang w:val="en-GB" w:eastAsia="en-GB"/>
        </w:rPr>
        <w:t xml:space="preserve"> 53, n. 1, pp. 112-134, 1978.</w:t>
      </w:r>
    </w:p>
    <w:p w:rsidR="00E11B90" w:rsidRPr="00E11B90" w:rsidRDefault="00E11B90" w:rsidP="00E11B90">
      <w:pPr>
        <w:keepLines/>
        <w:widowControl w:val="0"/>
        <w:tabs>
          <w:tab w:val="left" w:pos="338"/>
        </w:tabs>
        <w:spacing w:after="0" w:line="240" w:lineRule="auto"/>
        <w:rPr>
          <w:rFonts w:ascii="Arial" w:eastAsiaTheme="minorEastAsia" w:hAnsi="Arial" w:cs="Times New Roman"/>
          <w:lang w:val="en-GB" w:eastAsia="en-GB"/>
        </w:rPr>
      </w:pPr>
    </w:p>
    <w:p w:rsidR="00E11B90" w:rsidRPr="00E11B90" w:rsidRDefault="00E11B90" w:rsidP="00E11B90">
      <w:pPr>
        <w:keepLines/>
        <w:widowControl w:val="0"/>
        <w:spacing w:after="200" w:line="276" w:lineRule="auto"/>
        <w:rPr>
          <w:rFonts w:ascii="Arial" w:eastAsiaTheme="minorEastAsia" w:hAnsi="Arial" w:cs="Times New Roman"/>
          <w:lang w:val="en-GB" w:eastAsia="en-GB"/>
        </w:rPr>
      </w:pPr>
    </w:p>
    <w:p w:rsidR="00881BA1" w:rsidRDefault="00881BA1"/>
    <w:sectPr w:rsidR="00881BA1" w:rsidSect="00FB75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1F7"/>
    <w:multiLevelType w:val="hybridMultilevel"/>
    <w:tmpl w:val="59988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44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6F69C9"/>
    <w:multiLevelType w:val="hybridMultilevel"/>
    <w:tmpl w:val="5B60F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157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3644B2C"/>
    <w:multiLevelType w:val="hybridMultilevel"/>
    <w:tmpl w:val="1BB4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C6703"/>
    <w:multiLevelType w:val="multilevel"/>
    <w:tmpl w:val="0EE0F24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642B0A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3223FB0"/>
    <w:multiLevelType w:val="hybridMultilevel"/>
    <w:tmpl w:val="38A68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CA7AAC"/>
    <w:multiLevelType w:val="hybridMultilevel"/>
    <w:tmpl w:val="B3069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90"/>
    <w:rsid w:val="00776F85"/>
    <w:rsid w:val="00881BA1"/>
    <w:rsid w:val="009027D7"/>
    <w:rsid w:val="00C8727F"/>
    <w:rsid w:val="00CD5C1A"/>
    <w:rsid w:val="00E11B90"/>
    <w:rsid w:val="00E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C12A"/>
  <w15:chartTrackingRefBased/>
  <w15:docId w15:val="{04982889-7526-40E0-91DD-5F9501EC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1B90"/>
    <w:rPr>
      <w:rFonts w:cs="Times New Roman"/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1B90"/>
    <w:pPr>
      <w:spacing w:after="200" w:line="276" w:lineRule="auto"/>
      <w:ind w:left="720"/>
      <w:contextualSpacing/>
    </w:pPr>
    <w:rPr>
      <w:rFonts w:eastAsiaTheme="minorEastAsia" w:cs="Times New Roman"/>
      <w:lang w:val="en-GB" w:eastAsia="en-GB"/>
    </w:rPr>
  </w:style>
  <w:style w:type="character" w:customStyle="1" w:styleId="Subttulo1">
    <w:name w:val="Subtítulo1"/>
    <w:basedOn w:val="Fontepargpadro"/>
    <w:rsid w:val="00E11B90"/>
    <w:rPr>
      <w:rFonts w:cs="Times New Roman"/>
    </w:rPr>
  </w:style>
  <w:style w:type="table" w:styleId="ListaClara">
    <w:name w:val="Light List"/>
    <w:basedOn w:val="Tabelanormal"/>
    <w:uiPriority w:val="61"/>
    <w:rsid w:val="00E11B90"/>
    <w:pPr>
      <w:spacing w:after="0" w:line="240" w:lineRule="auto"/>
    </w:pPr>
    <w:rPr>
      <w:rFonts w:eastAsiaTheme="minorEastAsia" w:cs="Times New Roman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emeraldinsight.com/results.asp?sf1=contributor&amp;st1=Gary%20w/2%20J%20w/2%20Previts&amp;CUR=GBP&amp;SORT=sort_date/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emeraldinsight.com/results.asp?sf1=contributor&amp;st1=Peter%20w/2%20Wolnizer&amp;CUR=GBP&amp;SORT=sort_date/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emeraldinsight.com/results.asp?sf1=contributor&amp;st1=Peter%20w/2%20Walton&amp;CUR=GBP&amp;SORT=sort_date/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ooks.emeraldinsight.com/results.asp?sf1=contributor&amp;st1=Gary%20w/2%20J%20w/2%20Previts&amp;CUR=GBP&amp;SORT=sort_date/d" TargetMode="External"/><Relationship Id="rId10" Type="http://schemas.openxmlformats.org/officeDocument/2006/relationships/hyperlink" Target="http://ssrn.com/abstract=1095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emeraldinsight.com/results.asp?sf1=contributor&amp;st1=Robert%20w/2%20Bricker&amp;CUR=GBP&amp;SORT=sort_date/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2299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rezende</dc:creator>
  <cp:keywords/>
  <dc:description/>
  <cp:lastModifiedBy>amaury rezende</cp:lastModifiedBy>
  <cp:revision>2</cp:revision>
  <dcterms:created xsi:type="dcterms:W3CDTF">2018-02-28T09:59:00Z</dcterms:created>
  <dcterms:modified xsi:type="dcterms:W3CDTF">2018-02-28T10:21:00Z</dcterms:modified>
</cp:coreProperties>
</file>