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74" w:rsidRDefault="00C56E1B" w:rsidP="00C36A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D054F3" w:rsidRPr="00C36AD5">
        <w:rPr>
          <w:rFonts w:ascii="Arial" w:hAnsi="Arial" w:cs="Arial"/>
          <w:b/>
          <w:sz w:val="18"/>
          <w:szCs w:val="18"/>
        </w:rPr>
        <w:t xml:space="preserve">ª </w:t>
      </w:r>
      <w:r w:rsidR="00404412" w:rsidRPr="00C36AD5">
        <w:rPr>
          <w:rFonts w:ascii="Arial" w:hAnsi="Arial" w:cs="Arial"/>
          <w:b/>
          <w:sz w:val="18"/>
          <w:szCs w:val="18"/>
        </w:rPr>
        <w:t xml:space="preserve">Prova </w:t>
      </w:r>
      <w:r w:rsidR="00D054F3" w:rsidRPr="00C36AD5">
        <w:rPr>
          <w:rFonts w:ascii="Arial" w:hAnsi="Arial" w:cs="Arial"/>
          <w:b/>
          <w:sz w:val="18"/>
          <w:szCs w:val="18"/>
        </w:rPr>
        <w:t xml:space="preserve">Bimestral </w:t>
      </w:r>
      <w:r w:rsidR="00404412" w:rsidRPr="00C36AD5">
        <w:rPr>
          <w:rFonts w:ascii="Arial" w:hAnsi="Arial" w:cs="Arial"/>
          <w:b/>
          <w:sz w:val="18"/>
          <w:szCs w:val="18"/>
        </w:rPr>
        <w:t xml:space="preserve">de </w:t>
      </w:r>
      <w:r w:rsidR="00D054F3" w:rsidRPr="00C36AD5">
        <w:rPr>
          <w:rFonts w:ascii="Arial" w:hAnsi="Arial" w:cs="Arial"/>
          <w:b/>
          <w:sz w:val="18"/>
          <w:szCs w:val="18"/>
        </w:rPr>
        <w:t>D</w:t>
      </w:r>
      <w:r w:rsidR="00404412" w:rsidRPr="00C36AD5">
        <w:rPr>
          <w:rFonts w:ascii="Arial" w:hAnsi="Arial" w:cs="Arial"/>
          <w:b/>
          <w:sz w:val="18"/>
          <w:szCs w:val="18"/>
        </w:rPr>
        <w:t xml:space="preserve">ireito </w:t>
      </w:r>
      <w:r w:rsidR="00D054F3" w:rsidRPr="00C36AD5">
        <w:rPr>
          <w:rFonts w:ascii="Arial" w:hAnsi="Arial" w:cs="Arial"/>
          <w:b/>
          <w:sz w:val="18"/>
          <w:szCs w:val="18"/>
        </w:rPr>
        <w:t>A</w:t>
      </w:r>
      <w:bookmarkStart w:id="0" w:name="_GoBack"/>
      <w:bookmarkEnd w:id="0"/>
      <w:r w:rsidR="00664F18" w:rsidRPr="00C36AD5">
        <w:rPr>
          <w:rFonts w:ascii="Arial" w:hAnsi="Arial" w:cs="Arial"/>
          <w:b/>
          <w:sz w:val="18"/>
          <w:szCs w:val="18"/>
        </w:rPr>
        <w:t>dministrativo 2</w:t>
      </w:r>
      <w:r w:rsidR="00583BD4" w:rsidRPr="00C36AD5">
        <w:rPr>
          <w:rFonts w:ascii="Arial" w:hAnsi="Arial" w:cs="Arial"/>
          <w:b/>
          <w:sz w:val="18"/>
          <w:szCs w:val="18"/>
        </w:rPr>
        <w:t xml:space="preserve"> </w:t>
      </w:r>
      <w:r w:rsidR="00480FE4" w:rsidRPr="00C36AD5">
        <w:rPr>
          <w:rFonts w:ascii="Arial" w:hAnsi="Arial" w:cs="Arial"/>
          <w:b/>
          <w:sz w:val="18"/>
          <w:szCs w:val="18"/>
        </w:rPr>
        <w:t>- T2</w:t>
      </w:r>
      <w:r w:rsidR="00117F8C" w:rsidRPr="00C36AD5">
        <w:rPr>
          <w:rFonts w:ascii="Arial" w:hAnsi="Arial" w:cs="Arial"/>
          <w:b/>
          <w:sz w:val="18"/>
          <w:szCs w:val="18"/>
        </w:rPr>
        <w:t>1</w:t>
      </w:r>
      <w:r w:rsidR="00480FE4" w:rsidRPr="00C36AD5">
        <w:rPr>
          <w:rFonts w:ascii="Arial" w:hAnsi="Arial" w:cs="Arial"/>
          <w:b/>
          <w:sz w:val="18"/>
          <w:szCs w:val="18"/>
        </w:rPr>
        <w:t xml:space="preserve"> e T2</w:t>
      </w:r>
      <w:r w:rsidR="00117F8C" w:rsidRPr="00C36AD5">
        <w:rPr>
          <w:rFonts w:ascii="Arial" w:hAnsi="Arial" w:cs="Arial"/>
          <w:b/>
          <w:sz w:val="18"/>
          <w:szCs w:val="18"/>
        </w:rPr>
        <w:t>2</w:t>
      </w:r>
      <w:r w:rsidR="00C36AD5" w:rsidRPr="00C36AD5">
        <w:rPr>
          <w:rFonts w:ascii="Arial" w:hAnsi="Arial" w:cs="Arial"/>
          <w:b/>
          <w:sz w:val="18"/>
          <w:szCs w:val="18"/>
        </w:rPr>
        <w:t xml:space="preserve"> </w:t>
      </w:r>
    </w:p>
    <w:p w:rsidR="00E04C7E" w:rsidRPr="00C36AD5" w:rsidRDefault="00664F18" w:rsidP="00C36AD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36AD5">
        <w:rPr>
          <w:rFonts w:ascii="Arial" w:hAnsi="Arial" w:cs="Arial"/>
          <w:b/>
          <w:sz w:val="18"/>
          <w:szCs w:val="18"/>
        </w:rPr>
        <w:t xml:space="preserve">Prof. </w:t>
      </w:r>
      <w:r w:rsidR="00404412" w:rsidRPr="00C36AD5">
        <w:rPr>
          <w:rFonts w:ascii="Arial" w:hAnsi="Arial" w:cs="Arial"/>
          <w:b/>
          <w:sz w:val="18"/>
          <w:szCs w:val="18"/>
        </w:rPr>
        <w:t>Dr</w:t>
      </w:r>
      <w:r w:rsidR="000A7B6E" w:rsidRPr="00C36AD5">
        <w:rPr>
          <w:rFonts w:ascii="Arial" w:hAnsi="Arial" w:cs="Arial"/>
          <w:b/>
          <w:sz w:val="18"/>
          <w:szCs w:val="18"/>
        </w:rPr>
        <w:t>.</w:t>
      </w:r>
      <w:r w:rsidR="00404412" w:rsidRPr="00C36AD5">
        <w:rPr>
          <w:rFonts w:ascii="Arial" w:hAnsi="Arial" w:cs="Arial"/>
          <w:b/>
          <w:sz w:val="18"/>
          <w:szCs w:val="18"/>
        </w:rPr>
        <w:t xml:space="preserve"> Gustavo Justino de Oliveira</w:t>
      </w:r>
    </w:p>
    <w:p w:rsidR="00C36AD5" w:rsidRDefault="00C36AD5" w:rsidP="00C54A2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04C7E" w:rsidRPr="00C36AD5" w:rsidRDefault="00E04C7E" w:rsidP="00C54A2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36AD5">
        <w:rPr>
          <w:rFonts w:ascii="Arial" w:hAnsi="Arial" w:cs="Arial"/>
          <w:b/>
          <w:sz w:val="16"/>
          <w:szCs w:val="16"/>
        </w:rPr>
        <w:t xml:space="preserve">Observação n. 1: </w:t>
      </w:r>
      <w:r w:rsidRPr="00C36AD5">
        <w:rPr>
          <w:rFonts w:ascii="Arial" w:hAnsi="Arial" w:cs="Arial"/>
          <w:i/>
          <w:sz w:val="16"/>
          <w:szCs w:val="16"/>
        </w:rPr>
        <w:t xml:space="preserve">A prova terá duração máxima de </w:t>
      </w:r>
      <w:r w:rsidRPr="00C36AD5">
        <w:rPr>
          <w:rFonts w:ascii="Arial" w:hAnsi="Arial" w:cs="Arial"/>
          <w:b/>
          <w:i/>
          <w:sz w:val="16"/>
          <w:szCs w:val="16"/>
        </w:rPr>
        <w:t>1h</w:t>
      </w:r>
      <w:r w:rsidR="00B13B43" w:rsidRPr="00C36AD5">
        <w:rPr>
          <w:rFonts w:ascii="Arial" w:hAnsi="Arial" w:cs="Arial"/>
          <w:b/>
          <w:i/>
          <w:sz w:val="16"/>
          <w:szCs w:val="16"/>
        </w:rPr>
        <w:t>3</w:t>
      </w:r>
      <w:r w:rsidR="000A63A4" w:rsidRPr="00C36AD5">
        <w:rPr>
          <w:rFonts w:ascii="Arial" w:hAnsi="Arial" w:cs="Arial"/>
          <w:b/>
          <w:i/>
          <w:sz w:val="16"/>
          <w:szCs w:val="16"/>
        </w:rPr>
        <w:t>0</w:t>
      </w:r>
      <w:r w:rsidRPr="00C36AD5">
        <w:rPr>
          <w:rFonts w:ascii="Arial" w:hAnsi="Arial" w:cs="Arial"/>
          <w:b/>
          <w:i/>
          <w:sz w:val="16"/>
          <w:szCs w:val="16"/>
        </w:rPr>
        <w:t xml:space="preserve"> (uma hora</w:t>
      </w:r>
      <w:r w:rsidR="000A63A4" w:rsidRPr="00C36AD5">
        <w:rPr>
          <w:rFonts w:ascii="Arial" w:hAnsi="Arial" w:cs="Arial"/>
          <w:b/>
          <w:i/>
          <w:sz w:val="16"/>
          <w:szCs w:val="16"/>
        </w:rPr>
        <w:t xml:space="preserve"> e </w:t>
      </w:r>
      <w:r w:rsidR="00B13B43" w:rsidRPr="00C36AD5">
        <w:rPr>
          <w:rFonts w:ascii="Arial" w:hAnsi="Arial" w:cs="Arial"/>
          <w:b/>
          <w:i/>
          <w:sz w:val="16"/>
          <w:szCs w:val="16"/>
        </w:rPr>
        <w:t>trinta minutos</w:t>
      </w:r>
      <w:r w:rsidRPr="00C36AD5">
        <w:rPr>
          <w:rFonts w:ascii="Arial" w:hAnsi="Arial" w:cs="Arial"/>
          <w:b/>
          <w:i/>
          <w:sz w:val="16"/>
          <w:szCs w:val="16"/>
        </w:rPr>
        <w:t>)</w:t>
      </w:r>
      <w:r w:rsidRPr="00C36AD5">
        <w:rPr>
          <w:rFonts w:ascii="Arial" w:hAnsi="Arial" w:cs="Arial"/>
          <w:i/>
          <w:sz w:val="16"/>
          <w:szCs w:val="16"/>
        </w:rPr>
        <w:t xml:space="preserve"> sem prorrogações, somente será possível utilizar uma folha de prova (frente e verso) e é terminantemente proibido destacar o caderno contendo as questões, o qual poderá ser utilizado para fins de rascunho.</w:t>
      </w:r>
      <w:r w:rsidR="00BE0182" w:rsidRPr="00C36AD5">
        <w:rPr>
          <w:rFonts w:ascii="Arial" w:hAnsi="Arial" w:cs="Arial"/>
          <w:i/>
          <w:sz w:val="16"/>
          <w:szCs w:val="16"/>
        </w:rPr>
        <w:t xml:space="preserve"> </w:t>
      </w:r>
      <w:r w:rsidRPr="00C36AD5">
        <w:rPr>
          <w:rFonts w:ascii="Arial" w:hAnsi="Arial" w:cs="Arial"/>
          <w:b/>
          <w:sz w:val="16"/>
          <w:szCs w:val="16"/>
        </w:rPr>
        <w:t xml:space="preserve">Observação n. 2: </w:t>
      </w:r>
      <w:r w:rsidRPr="00C36AD5">
        <w:rPr>
          <w:rFonts w:ascii="Arial" w:hAnsi="Arial" w:cs="Arial"/>
          <w:i/>
          <w:sz w:val="16"/>
          <w:szCs w:val="16"/>
        </w:rPr>
        <w:t xml:space="preserve">As respostas devem ser claras, concisas e amplamente fundamentadas, com começo, meio e fim; a letra do aluno deverá ser </w:t>
      </w:r>
      <w:proofErr w:type="spellStart"/>
      <w:r w:rsidRPr="00C36AD5">
        <w:rPr>
          <w:rFonts w:ascii="Arial" w:hAnsi="Arial" w:cs="Arial"/>
          <w:i/>
          <w:sz w:val="16"/>
          <w:szCs w:val="16"/>
        </w:rPr>
        <w:t>intelegível</w:t>
      </w:r>
      <w:proofErr w:type="spellEnd"/>
      <w:r w:rsidRPr="00C36AD5">
        <w:rPr>
          <w:rFonts w:ascii="Arial" w:hAnsi="Arial" w:cs="Arial"/>
          <w:i/>
          <w:sz w:val="16"/>
          <w:szCs w:val="16"/>
        </w:rPr>
        <w:t xml:space="preserve"> para o Professor, sob pena de desconsideração total da nota correspondente à questão.</w:t>
      </w:r>
      <w:r w:rsidRPr="00C36AD5">
        <w:rPr>
          <w:rFonts w:ascii="Arial" w:hAnsi="Arial" w:cs="Arial"/>
          <w:sz w:val="16"/>
          <w:szCs w:val="16"/>
        </w:rPr>
        <w:t xml:space="preserve"> </w:t>
      </w:r>
      <w:r w:rsidRPr="00C36AD5">
        <w:rPr>
          <w:rFonts w:ascii="Arial" w:hAnsi="Arial" w:cs="Arial"/>
          <w:b/>
          <w:sz w:val="16"/>
          <w:szCs w:val="16"/>
        </w:rPr>
        <w:t>Observação n. 3:</w:t>
      </w:r>
      <w:r w:rsidRPr="00C36AD5">
        <w:rPr>
          <w:rFonts w:ascii="Arial" w:hAnsi="Arial" w:cs="Arial"/>
          <w:sz w:val="16"/>
          <w:szCs w:val="16"/>
        </w:rPr>
        <w:t xml:space="preserve"> </w:t>
      </w:r>
      <w:r w:rsidRPr="00C36AD5">
        <w:rPr>
          <w:rFonts w:ascii="Arial" w:hAnsi="Arial" w:cs="Arial"/>
          <w:i/>
          <w:sz w:val="16"/>
          <w:szCs w:val="16"/>
        </w:rPr>
        <w:t>Somente será permitida a consulta à legislação seca, sem nenhum comentário ou anotações feitas pelo aluno ou por terceiro</w:t>
      </w:r>
      <w:r w:rsidR="007020C1" w:rsidRPr="00C36AD5">
        <w:rPr>
          <w:rFonts w:ascii="Arial" w:hAnsi="Arial" w:cs="Arial"/>
          <w:i/>
          <w:sz w:val="16"/>
          <w:szCs w:val="16"/>
        </w:rPr>
        <w:t>s</w:t>
      </w:r>
      <w:r w:rsidRPr="00C36AD5">
        <w:rPr>
          <w:rFonts w:ascii="Arial" w:hAnsi="Arial" w:cs="Arial"/>
          <w:i/>
          <w:sz w:val="16"/>
          <w:szCs w:val="16"/>
        </w:rPr>
        <w:t>, sob pena de retirada imediata do material, da prova e outorga da nota ZERO.</w:t>
      </w:r>
    </w:p>
    <w:p w:rsidR="003A0D75" w:rsidRPr="00C36AD5" w:rsidRDefault="003A0D75" w:rsidP="00C54A2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00CD" w:rsidRPr="00C811B9" w:rsidRDefault="008F0332" w:rsidP="00FF00C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6AD5">
        <w:rPr>
          <w:rFonts w:ascii="Arial" w:hAnsi="Arial" w:cs="Arial"/>
          <w:b/>
          <w:bCs/>
          <w:sz w:val="18"/>
          <w:szCs w:val="18"/>
        </w:rPr>
        <w:t>1.</w:t>
      </w:r>
      <w:r w:rsidRPr="00C36AD5">
        <w:rPr>
          <w:rFonts w:ascii="Arial" w:hAnsi="Arial" w:cs="Arial"/>
          <w:bCs/>
          <w:sz w:val="18"/>
          <w:szCs w:val="18"/>
        </w:rPr>
        <w:t xml:space="preserve"> </w:t>
      </w:r>
      <w:r w:rsidR="00FF00CD" w:rsidRPr="00C811B9">
        <w:rPr>
          <w:rFonts w:ascii="Arial" w:hAnsi="Arial" w:cs="Arial"/>
          <w:bCs/>
          <w:sz w:val="20"/>
          <w:szCs w:val="20"/>
        </w:rPr>
        <w:t xml:space="preserve">O Ministério Público Federal ajuíza, na 1ª Vara na Justiça Federal do Distrito Federal, Ação de Improbidade Administrativa contra o Presidente da República e a empreiteira EXPERTONA INFRAESTRUTURA – América Latina, pela prática de atos de improbidade tipificados, </w:t>
      </w:r>
      <w:r w:rsidR="00FF00CD" w:rsidRPr="00C811B9">
        <w:rPr>
          <w:rFonts w:ascii="Arial" w:hAnsi="Arial" w:cs="Arial"/>
          <w:bCs/>
          <w:sz w:val="20"/>
          <w:szCs w:val="20"/>
          <w:u w:val="single"/>
        </w:rPr>
        <w:t>o primeiro</w:t>
      </w:r>
      <w:r w:rsidR="00FF00CD" w:rsidRPr="00C811B9">
        <w:rPr>
          <w:rFonts w:ascii="Arial" w:hAnsi="Arial" w:cs="Arial"/>
          <w:bCs/>
          <w:sz w:val="20"/>
          <w:szCs w:val="20"/>
        </w:rPr>
        <w:t xml:space="preserve">, no art. 10, </w:t>
      </w:r>
      <w:proofErr w:type="spellStart"/>
      <w:r w:rsidR="00FF00CD" w:rsidRPr="00C811B9">
        <w:rPr>
          <w:rFonts w:ascii="Arial" w:hAnsi="Arial" w:cs="Arial"/>
          <w:bCs/>
          <w:sz w:val="20"/>
          <w:szCs w:val="20"/>
        </w:rPr>
        <w:t>incs</w:t>
      </w:r>
      <w:proofErr w:type="spellEnd"/>
      <w:r w:rsidR="00FF00CD" w:rsidRPr="00C811B9">
        <w:rPr>
          <w:rFonts w:ascii="Arial" w:hAnsi="Arial" w:cs="Arial"/>
          <w:bCs/>
          <w:sz w:val="20"/>
          <w:szCs w:val="20"/>
        </w:rPr>
        <w:t xml:space="preserve">. VI, VII, IX e XI; </w:t>
      </w:r>
      <w:r w:rsidR="00FF00CD" w:rsidRPr="00C811B9">
        <w:rPr>
          <w:rFonts w:ascii="Arial" w:hAnsi="Arial" w:cs="Arial"/>
          <w:bCs/>
          <w:sz w:val="20"/>
          <w:szCs w:val="20"/>
          <w:u w:val="single"/>
        </w:rPr>
        <w:t>a última</w:t>
      </w:r>
      <w:r w:rsidR="00FF00CD" w:rsidRPr="00C811B9">
        <w:rPr>
          <w:rFonts w:ascii="Arial" w:hAnsi="Arial" w:cs="Arial"/>
          <w:bCs/>
          <w:sz w:val="20"/>
          <w:szCs w:val="20"/>
        </w:rPr>
        <w:t xml:space="preserve">, no art. 9º, XI e XII, todos, da Lei de Improbidade, em virtude de supostas ilegalidades e desvios de verbas públicas que teriam sido cometidos no processo de contratação de obra destinada à renovação e ampliação do Aeroporto de Brasília. </w:t>
      </w:r>
      <w:r w:rsidR="00FF00CD" w:rsidRPr="00C811B9">
        <w:rPr>
          <w:rFonts w:ascii="Arial" w:hAnsi="Arial" w:cs="Arial"/>
          <w:b/>
          <w:bCs/>
          <w:sz w:val="20"/>
          <w:szCs w:val="20"/>
        </w:rPr>
        <w:t>Pergunta-se</w:t>
      </w:r>
      <w:r w:rsidR="00FF00CD" w:rsidRPr="00C811B9">
        <w:rPr>
          <w:rFonts w:ascii="Arial" w:hAnsi="Arial" w:cs="Arial"/>
          <w:bCs/>
          <w:sz w:val="20"/>
          <w:szCs w:val="20"/>
        </w:rPr>
        <w:t xml:space="preserve">: </w:t>
      </w:r>
      <w:r w:rsidR="00FF00CD" w:rsidRPr="00C811B9">
        <w:rPr>
          <w:rFonts w:ascii="Arial" w:hAnsi="Arial" w:cs="Arial"/>
          <w:b/>
          <w:bCs/>
          <w:sz w:val="20"/>
          <w:szCs w:val="20"/>
        </w:rPr>
        <w:t>a)</w:t>
      </w:r>
      <w:r w:rsidR="00FF00CD" w:rsidRPr="00C811B9">
        <w:rPr>
          <w:rFonts w:ascii="Arial" w:hAnsi="Arial" w:cs="Arial"/>
          <w:bCs/>
          <w:sz w:val="20"/>
          <w:szCs w:val="20"/>
        </w:rPr>
        <w:t xml:space="preserve"> considerando que você é Juiz(a) Federal encarregado(a) de apreciar a petição inicial, e considerando também que </w:t>
      </w:r>
      <w:r w:rsidR="00FF00CD" w:rsidRPr="00C811B9">
        <w:rPr>
          <w:rFonts w:ascii="Arial" w:hAnsi="Arial" w:cs="Arial"/>
          <w:bCs/>
          <w:i/>
          <w:sz w:val="20"/>
          <w:szCs w:val="20"/>
        </w:rPr>
        <w:t xml:space="preserve">in </w:t>
      </w:r>
      <w:proofErr w:type="spellStart"/>
      <w:r w:rsidR="00FF00CD" w:rsidRPr="00C811B9">
        <w:rPr>
          <w:rFonts w:ascii="Arial" w:hAnsi="Arial" w:cs="Arial"/>
          <w:bCs/>
          <w:i/>
          <w:sz w:val="20"/>
          <w:szCs w:val="20"/>
        </w:rPr>
        <w:t>casu</w:t>
      </w:r>
      <w:proofErr w:type="spellEnd"/>
      <w:r w:rsidR="00FF00CD" w:rsidRPr="00C811B9">
        <w:rPr>
          <w:rFonts w:ascii="Arial" w:hAnsi="Arial" w:cs="Arial"/>
          <w:bCs/>
          <w:i/>
          <w:sz w:val="20"/>
          <w:szCs w:val="20"/>
        </w:rPr>
        <w:t xml:space="preserve"> </w:t>
      </w:r>
      <w:r w:rsidR="00FF00CD" w:rsidRPr="00C811B9">
        <w:rPr>
          <w:rFonts w:ascii="Arial" w:hAnsi="Arial" w:cs="Arial"/>
          <w:bCs/>
          <w:sz w:val="20"/>
          <w:szCs w:val="20"/>
        </w:rPr>
        <w:t xml:space="preserve">existe justa causa, decida sintética e motivadamente, com base no art. 17, § 8º, da Lei de Improbidade, no que diz respeito à adequação da via eleita, em relação a cada um dos acusados; </w:t>
      </w:r>
      <w:r w:rsidR="00FF00CD" w:rsidRPr="00C811B9">
        <w:rPr>
          <w:rFonts w:ascii="Arial" w:hAnsi="Arial" w:cs="Arial"/>
          <w:b/>
          <w:bCs/>
          <w:sz w:val="20"/>
          <w:szCs w:val="20"/>
        </w:rPr>
        <w:t>b)</w:t>
      </w:r>
      <w:r w:rsidR="00FF00CD" w:rsidRPr="00C811B9">
        <w:rPr>
          <w:rFonts w:ascii="Arial" w:hAnsi="Arial" w:cs="Arial"/>
          <w:bCs/>
          <w:sz w:val="20"/>
          <w:szCs w:val="20"/>
        </w:rPr>
        <w:t xml:space="preserve"> seria possível ao Ministério Público Federal ajuizar concomitantemente contra os mesmos acusados a Ação Civil de Responsabilização prevista na Lei Anticorrupção, considerando também haver indícios suficientes de práticas de corrupção? Por quê? Fundamente. </w:t>
      </w:r>
      <w:r w:rsidR="00FF00CD" w:rsidRPr="00C811B9">
        <w:rPr>
          <w:rFonts w:ascii="Arial" w:hAnsi="Arial" w:cs="Arial"/>
          <w:b/>
          <w:bCs/>
          <w:sz w:val="20"/>
          <w:szCs w:val="20"/>
        </w:rPr>
        <w:t>(3 pontos)</w:t>
      </w:r>
    </w:p>
    <w:p w:rsidR="00FF00CD" w:rsidRDefault="00FF00CD" w:rsidP="0091246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F4DFA" w:rsidRPr="004F4DFA" w:rsidRDefault="004F4DFA" w:rsidP="004F4D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D26882">
        <w:rPr>
          <w:rFonts w:ascii="Arial" w:eastAsia="Times New Roman" w:hAnsi="Arial" w:cs="Arial"/>
          <w:b/>
          <w:bCs/>
          <w:color w:val="222222"/>
          <w:sz w:val="18"/>
          <w:szCs w:val="18"/>
          <w:highlight w:val="yellow"/>
          <w:u w:val="single"/>
        </w:rPr>
        <w:t>Gabarito:</w:t>
      </w:r>
      <w:r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 </w:t>
      </w:r>
      <w:proofErr w:type="spellStart"/>
      <w:r w:rsidR="00D26882" w:rsidRPr="00D26882">
        <w:rPr>
          <w:rFonts w:ascii="Arial" w:eastAsia="Times New Roman" w:hAnsi="Arial" w:cs="Arial"/>
          <w:b/>
          <w:color w:val="222222"/>
          <w:sz w:val="18"/>
          <w:szCs w:val="18"/>
          <w:highlight w:val="yellow"/>
        </w:rPr>
        <w:t>R.</w:t>
      </w:r>
      <w:r w:rsidRPr="00D26882">
        <w:rPr>
          <w:rFonts w:ascii="Arial" w:eastAsia="Times New Roman" w:hAnsi="Arial" w:cs="Arial"/>
          <w:b/>
          <w:color w:val="222222"/>
          <w:sz w:val="18"/>
          <w:szCs w:val="18"/>
          <w:highlight w:val="yellow"/>
        </w:rPr>
        <w:t>a</w:t>
      </w:r>
      <w:proofErr w:type="spellEnd"/>
      <w:r w:rsidRPr="00D26882">
        <w:rPr>
          <w:rFonts w:ascii="Arial" w:eastAsia="Times New Roman" w:hAnsi="Arial" w:cs="Arial"/>
          <w:b/>
          <w:color w:val="222222"/>
          <w:sz w:val="18"/>
          <w:szCs w:val="18"/>
          <w:highlight w:val="yellow"/>
        </w:rPr>
        <w:t>)</w:t>
      </w:r>
      <w:r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Primeiramente, em relação à Presidente da República, a ação deve ser rejeitada em razão da inadequação da via eleita (art. 17, par. 8º). A Lei de Improbidade não é aplicável àqueles que estão sujeitos à Lei n. 1.079/1950 (Lei dos Crimes de Responsabilidade). Embora haja alguma polêmica em relação aos governadores e prefeitos, em relação à Presidência da República este entendimento é pacífico. “O sistema constitucional brasileiro distingue o regime de responsabilidade dos agentes políticos dos demais agentes públicos. (STF, </w:t>
      </w:r>
      <w:proofErr w:type="spellStart"/>
      <w:r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Rcl</w:t>
      </w:r>
      <w:proofErr w:type="spellEnd"/>
      <w:r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2138 DF)”. O julgamento dos atos de improbidade praticados pela Presidente da República “se dá em regime especial pelo Senado Federal” (STJ, </w:t>
      </w:r>
      <w:proofErr w:type="spellStart"/>
      <w:r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Rcl</w:t>
      </w:r>
      <w:proofErr w:type="spellEnd"/>
      <w:r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2790 SC) (vide art. 52, I, art. 85, V, da CF). </w:t>
      </w:r>
      <w:r w:rsidR="00D26882"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Em decorrência disso, em relação à empreiteira, a ação também não deve ser recebida. Embora o art. 3º da Lei de Improbidade permita a aplicabilidade da lei àquele que, “mesmo não sendo agente público, induza ou concorra para a prática do ato de improbidade ou dele se beneficie sob qualquer forma direta ou indireta”, a permanência da empreiteira no polo passivo da ação dependeria da presença de, ao menos, outro agente público – a empreiteira não poderá permanecer como a única integrante do polo passivo, já que um ato de improbidade obrigatoriamente deve ser praticado por um agente público (vide STJ,  </w:t>
      </w:r>
      <w:proofErr w:type="spellStart"/>
      <w:r w:rsidR="00D26882"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REsp</w:t>
      </w:r>
      <w:proofErr w:type="spellEnd"/>
      <w:r w:rsidR="00D26882"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nº 1.405.748/RJ). Em tese, a empresa pode ser responsabilizada nos termos da Lei Anticorrupção</w:t>
      </w:r>
      <w:proofErr w:type="gramStart"/>
      <w:r w:rsidR="00D26882"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>, administrativa e civilmente,</w:t>
      </w:r>
      <w:proofErr w:type="gramEnd"/>
      <w:r w:rsidR="00D26882"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mas não com base da Lei de Improbidade. </w:t>
      </w:r>
      <w:r w:rsidRPr="00D26882">
        <w:rPr>
          <w:rFonts w:ascii="Arial" w:eastAsia="Times New Roman" w:hAnsi="Arial" w:cs="Arial"/>
          <w:b/>
          <w:color w:val="222222"/>
          <w:sz w:val="18"/>
          <w:szCs w:val="18"/>
          <w:highlight w:val="yellow"/>
        </w:rPr>
        <w:t>b)</w:t>
      </w:r>
      <w:r w:rsidRPr="00D26882">
        <w:rPr>
          <w:rFonts w:ascii="Arial" w:eastAsia="Times New Roman" w:hAnsi="Arial" w:cs="Arial"/>
          <w:color w:val="222222"/>
          <w:sz w:val="18"/>
          <w:szCs w:val="18"/>
          <w:highlight w:val="yellow"/>
        </w:rPr>
        <w:t xml:space="preserve"> Em relação à propositura de ação civil de responsabilização com base na Lei Anticorrupção, esta possibilidade existe somente em relação à empreiteira, uma vez que as penalidades da referida lei e a reparação do dano são direcionadas exclusivamente às pessoas jurídicas que cometem atos de corrupção contra a Administração Pública. (art. 1º, 8º e 18 da Lei Federal n. 12.846/2013), e não aos agentes públicos ou agentes políticos, cujo âmbito de responsabilização se dá por meio de leis distintas (no caso, Lei de Crime de Responsabilidade e Lei de Improbidade Administrativa).</w:t>
      </w:r>
      <w:r w:rsidRPr="004F4DFA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744336" w:rsidRPr="00C36AD5" w:rsidRDefault="00744336" w:rsidP="0091246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248D" w:rsidRDefault="00BC58BC" w:rsidP="00C7456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181B89" w:rsidRPr="00C36AD5">
        <w:rPr>
          <w:rFonts w:ascii="Arial" w:hAnsi="Arial" w:cs="Arial"/>
          <w:b/>
          <w:sz w:val="18"/>
          <w:szCs w:val="18"/>
        </w:rPr>
        <w:t xml:space="preserve">. </w:t>
      </w:r>
      <w:r w:rsidR="00C36AD5" w:rsidRPr="00C36AD5">
        <w:rPr>
          <w:rFonts w:ascii="Arial" w:hAnsi="Arial" w:cs="Arial"/>
          <w:sz w:val="18"/>
          <w:szCs w:val="18"/>
        </w:rPr>
        <w:t xml:space="preserve">O </w:t>
      </w:r>
      <w:r w:rsidR="00C36AD5" w:rsidRPr="00C36AD5">
        <w:rPr>
          <w:rFonts w:ascii="Arial" w:hAnsi="Arial" w:cs="Arial"/>
          <w:i/>
          <w:sz w:val="18"/>
          <w:szCs w:val="18"/>
        </w:rPr>
        <w:t>Estado de São Paulo</w:t>
      </w:r>
      <w:r w:rsidR="00C36AD5" w:rsidRPr="00C36AD5">
        <w:rPr>
          <w:rFonts w:ascii="Arial" w:hAnsi="Arial" w:cs="Arial"/>
          <w:sz w:val="18"/>
          <w:szCs w:val="18"/>
        </w:rPr>
        <w:t xml:space="preserve"> celebrou em 10.03.2006 com o </w:t>
      </w:r>
      <w:r w:rsidR="00C36AD5" w:rsidRPr="00C36AD5">
        <w:rPr>
          <w:rFonts w:ascii="Arial" w:hAnsi="Arial" w:cs="Arial"/>
          <w:i/>
          <w:sz w:val="18"/>
          <w:szCs w:val="18"/>
        </w:rPr>
        <w:t>Consórcio Via Quatro S.A</w:t>
      </w:r>
      <w:r w:rsidR="00C36AD5" w:rsidRPr="00C36AD5">
        <w:rPr>
          <w:rFonts w:ascii="Arial" w:hAnsi="Arial" w:cs="Arial"/>
          <w:sz w:val="18"/>
          <w:szCs w:val="18"/>
        </w:rPr>
        <w:t xml:space="preserve"> o contrato de parceria público-privada, tendo por objeto concessão patrocinada para exploração dos serviços de transporte de passageiros da Linha 4 – Amarela do Metrô de São Paulo, sendo a </w:t>
      </w:r>
      <w:r w:rsidR="00C36AD5" w:rsidRPr="00C36AD5">
        <w:rPr>
          <w:rFonts w:ascii="Arial" w:hAnsi="Arial" w:cs="Arial"/>
          <w:i/>
          <w:sz w:val="18"/>
          <w:szCs w:val="18"/>
        </w:rPr>
        <w:t xml:space="preserve">Companhia do Metropolitano de São Paulo </w:t>
      </w:r>
      <w:r w:rsidR="00C36AD5" w:rsidRPr="00C36AD5">
        <w:rPr>
          <w:rFonts w:ascii="Arial" w:hAnsi="Arial" w:cs="Arial"/>
          <w:sz w:val="18"/>
          <w:szCs w:val="18"/>
        </w:rPr>
        <w:t xml:space="preserve">(“Metrô”) parte interveniente ao contrato. O Edital, o Contrato de Concessão e seus anexos previram que a Linha 4 entraria em operação em duas fases. A primeira fase abrangia o funcionamento simultâneo de seis estações (Butantã, Pinheiros, Faria Lima, Paulista, República e Luz), e a segunda fase de todas as demais estações (Vila Sônia, Morumbi, Fradique Coutinho, Oscar Freire e Higienópolis). O Estado ficou responsável pela realização antecipada das obras de construção civil da Linha 4, as quais foram contratadas pelo Metrô em regime de empreitada global. Basicamente, os investimentos a cargo da Concessionária consistem na aquisição de trens e sistemas informatizados, considerados necessários à operação da Linha 4, e que seriam utilizados para a posterior exploração dos serviços de transporte de passageiros. </w:t>
      </w:r>
      <w:r w:rsidR="00C36AD5" w:rsidRPr="00C36AD5">
        <w:rPr>
          <w:rFonts w:ascii="Arial" w:hAnsi="Arial" w:cs="Arial"/>
          <w:b/>
          <w:sz w:val="18"/>
          <w:szCs w:val="18"/>
        </w:rPr>
        <w:t xml:space="preserve">Responda: </w:t>
      </w:r>
      <w:r w:rsidR="00C36AD5" w:rsidRPr="00C36AD5">
        <w:rPr>
          <w:rFonts w:ascii="Arial" w:hAnsi="Arial" w:cs="Arial"/>
          <w:sz w:val="18"/>
          <w:szCs w:val="18"/>
        </w:rPr>
        <w:t>Na tarde de 12.01.2007, parte do canteiro das obras da Estação Pinheiros da Linha 4 do Metrô desabou, e uma enorme cratera se abriu com 80m de diâmetro e 30m de profundidade, submergindo veículos e pessoas que passavam pelo local. Na qualidade de advogado(a) das vítimas, você é procurado para obter judicialmente indenização pelos danos. Contra quem, e sob quais fundamentos fáticos e jurídicos você irá ajuizar a demanda? Por quê? Justifique.</w:t>
      </w:r>
      <w:r w:rsidR="00C36AD5" w:rsidRPr="00C36AD5">
        <w:rPr>
          <w:rFonts w:ascii="Arial" w:hAnsi="Arial" w:cs="Arial"/>
          <w:b/>
          <w:bCs/>
          <w:sz w:val="18"/>
          <w:szCs w:val="18"/>
        </w:rPr>
        <w:t xml:space="preserve"> </w:t>
      </w:r>
      <w:r w:rsidR="00C36AD5">
        <w:rPr>
          <w:rFonts w:ascii="Arial" w:hAnsi="Arial" w:cs="Arial"/>
          <w:b/>
          <w:bCs/>
          <w:sz w:val="18"/>
          <w:szCs w:val="18"/>
        </w:rPr>
        <w:t>(3 pontos)</w:t>
      </w:r>
    </w:p>
    <w:p w:rsidR="004F4DFA" w:rsidRDefault="004F4DFA" w:rsidP="00C7456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26882" w:rsidRPr="00776015" w:rsidRDefault="00483757" w:rsidP="00D268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6882">
        <w:rPr>
          <w:rFonts w:ascii="Arial" w:hAnsi="Arial" w:cs="Arial"/>
          <w:b/>
          <w:bCs/>
          <w:sz w:val="18"/>
          <w:szCs w:val="18"/>
          <w:highlight w:val="yellow"/>
          <w:u w:val="single"/>
        </w:rPr>
        <w:t>Gabarito:</w:t>
      </w:r>
      <w:r w:rsidR="00D26882" w:rsidRPr="00D26882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D26882">
        <w:rPr>
          <w:rFonts w:ascii="Arial" w:hAnsi="Arial" w:cs="Arial"/>
          <w:b/>
          <w:sz w:val="18"/>
          <w:szCs w:val="18"/>
          <w:highlight w:val="yellow"/>
        </w:rPr>
        <w:t>R.</w:t>
      </w:r>
      <w:r w:rsidR="00D26882" w:rsidRPr="00D26882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D26882" w:rsidRPr="00D26882">
        <w:rPr>
          <w:rFonts w:ascii="Arial" w:hAnsi="Arial" w:cs="Arial"/>
          <w:sz w:val="18"/>
          <w:szCs w:val="18"/>
          <w:highlight w:val="yellow"/>
        </w:rPr>
        <w:t>Em princípio a ação de indenização deverá se</w:t>
      </w:r>
      <w:r w:rsidR="00FF00CD">
        <w:rPr>
          <w:rFonts w:ascii="Arial" w:hAnsi="Arial" w:cs="Arial"/>
          <w:sz w:val="18"/>
          <w:szCs w:val="18"/>
          <w:highlight w:val="yellow"/>
        </w:rPr>
        <w:t>r</w:t>
      </w:r>
      <w:r w:rsidR="00D26882" w:rsidRPr="00D26882">
        <w:rPr>
          <w:rFonts w:ascii="Arial" w:hAnsi="Arial" w:cs="Arial"/>
          <w:sz w:val="18"/>
          <w:szCs w:val="18"/>
          <w:highlight w:val="yellow"/>
        </w:rPr>
        <w:t xml:space="preserve"> ajuizada apenas em face da empreiteira </w:t>
      </w:r>
      <w:r w:rsidR="00D26882" w:rsidRPr="0013575A">
        <w:rPr>
          <w:rFonts w:ascii="Arial" w:hAnsi="Arial" w:cs="Arial"/>
          <w:sz w:val="18"/>
          <w:szCs w:val="18"/>
          <w:highlight w:val="yellow"/>
        </w:rPr>
        <w:t xml:space="preserve">contratada pelo Metrô, com fundamento no art. 70, da Lei n. 8666/93. Porém, se tiver havido falha na </w:t>
      </w:r>
      <w:r w:rsidR="00D26882" w:rsidRPr="0013575A">
        <w:rPr>
          <w:rFonts w:ascii="Arial" w:hAnsi="Arial" w:cs="Arial"/>
          <w:sz w:val="18"/>
          <w:szCs w:val="18"/>
          <w:highlight w:val="yellow"/>
        </w:rPr>
        <w:lastRenderedPageBreak/>
        <w:t>fiscalização ou acompanhamento da obra pelo metrô ou se a empresa não for capaz de suportar os prejuízos, o Metrô poderá, eventualmente, ser responsabilizado com base nos art. 67, c/</w:t>
      </w:r>
      <w:proofErr w:type="gramStart"/>
      <w:r w:rsidR="00D26882" w:rsidRPr="0013575A">
        <w:rPr>
          <w:rFonts w:ascii="Arial" w:hAnsi="Arial" w:cs="Arial"/>
          <w:sz w:val="18"/>
          <w:szCs w:val="18"/>
          <w:highlight w:val="yellow"/>
        </w:rPr>
        <w:t>c  art.</w:t>
      </w:r>
      <w:proofErr w:type="gramEnd"/>
      <w:r w:rsidR="00D26882" w:rsidRPr="0013575A">
        <w:rPr>
          <w:rFonts w:ascii="Arial" w:hAnsi="Arial" w:cs="Arial"/>
          <w:sz w:val="18"/>
          <w:szCs w:val="18"/>
          <w:highlight w:val="yellow"/>
        </w:rPr>
        <w:t xml:space="preserve"> 70 da Lei nº 8.666/93. Contudo, a responsabilidade dos envolvidos poderá ser atenuada ou excluída caso se comprove que o acidente ocorreu em razão de força maior, caso fortuito, culpa exclusiva da vítima ou de </w:t>
      </w:r>
      <w:proofErr w:type="spellStart"/>
      <w:r w:rsidR="00D26882" w:rsidRPr="0013575A">
        <w:rPr>
          <w:rFonts w:ascii="Arial" w:hAnsi="Arial" w:cs="Arial"/>
          <w:sz w:val="18"/>
          <w:szCs w:val="18"/>
          <w:highlight w:val="yellow"/>
        </w:rPr>
        <w:t>terceiro</w:t>
      </w:r>
      <w:proofErr w:type="spellEnd"/>
      <w:r w:rsidR="00D26882" w:rsidRPr="0013575A">
        <w:rPr>
          <w:rFonts w:ascii="Arial" w:hAnsi="Arial" w:cs="Arial"/>
          <w:sz w:val="18"/>
          <w:szCs w:val="18"/>
          <w:highlight w:val="yellow"/>
        </w:rPr>
        <w:t xml:space="preserve"> nos termos do art. 393 do Código Civil. No caso, o acidente não decorreu da prestação do serviço de transporte pela concessionária, portanto, não se enquadra na responsabilidade objetiva amparada na teoria risco administrativo e prevista no art. 37, §6º da Constituição Federal.</w:t>
      </w:r>
    </w:p>
    <w:p w:rsidR="004F4DFA" w:rsidRPr="004F4DFA" w:rsidRDefault="004F4DFA" w:rsidP="00C74564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B70D35" w:rsidRDefault="00B70D35" w:rsidP="00C7456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62AC5" w:rsidRDefault="00FF00CD" w:rsidP="00FF00C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11B9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811B9">
        <w:rPr>
          <w:rFonts w:ascii="Arial" w:hAnsi="Arial" w:cs="Arial"/>
          <w:sz w:val="20"/>
          <w:szCs w:val="20"/>
        </w:rPr>
        <w:t xml:space="preserve">No Diário Oficial do Estado </w:t>
      </w:r>
      <w:r w:rsidRPr="00C811B9">
        <w:rPr>
          <w:rFonts w:ascii="Arial" w:hAnsi="Arial" w:cs="Arial"/>
          <w:i/>
          <w:sz w:val="20"/>
          <w:szCs w:val="20"/>
        </w:rPr>
        <w:t>Y</w:t>
      </w:r>
      <w:r w:rsidRPr="00C811B9">
        <w:rPr>
          <w:rFonts w:ascii="Arial" w:hAnsi="Arial" w:cs="Arial"/>
          <w:sz w:val="20"/>
          <w:szCs w:val="20"/>
        </w:rPr>
        <w:t xml:space="preserve"> é publicada a nomeação de Conceição Guimarães, para ocupar cargo em comissão de Assessora Especial da Presidência do Tribunal de Justiça do Estado. </w:t>
      </w:r>
      <w:r w:rsidRPr="00C811B9">
        <w:rPr>
          <w:rFonts w:ascii="Arial" w:hAnsi="Arial" w:cs="Arial"/>
          <w:b/>
          <w:sz w:val="20"/>
          <w:szCs w:val="20"/>
        </w:rPr>
        <w:t>Pergunta-se:</w:t>
      </w:r>
      <w:r w:rsidRPr="00C811B9">
        <w:rPr>
          <w:rFonts w:ascii="Arial" w:hAnsi="Arial" w:cs="Arial"/>
          <w:sz w:val="20"/>
          <w:szCs w:val="20"/>
        </w:rPr>
        <w:t xml:space="preserve"> o ato de nomeação para o cargo em comissão é legal, </w:t>
      </w:r>
      <w:r w:rsidRPr="00C811B9">
        <w:rPr>
          <w:rFonts w:ascii="Arial" w:hAnsi="Arial" w:cs="Arial"/>
          <w:b/>
          <w:sz w:val="20"/>
          <w:szCs w:val="20"/>
        </w:rPr>
        <w:t xml:space="preserve">a) </w:t>
      </w:r>
      <w:r w:rsidRPr="00C811B9">
        <w:rPr>
          <w:rFonts w:ascii="Arial" w:hAnsi="Arial" w:cs="Arial"/>
          <w:sz w:val="20"/>
          <w:szCs w:val="20"/>
        </w:rPr>
        <w:t xml:space="preserve">considerando ser a mesma filha do Senador Ralf de Jesus, eleito pelo mesmo Estado? Fundamente; </w:t>
      </w:r>
      <w:r w:rsidRPr="00C811B9">
        <w:rPr>
          <w:rFonts w:ascii="Arial" w:hAnsi="Arial" w:cs="Arial"/>
          <w:b/>
          <w:sz w:val="20"/>
          <w:szCs w:val="20"/>
        </w:rPr>
        <w:t>b)</w:t>
      </w:r>
      <w:r w:rsidRPr="00C811B9">
        <w:rPr>
          <w:rFonts w:ascii="Arial" w:hAnsi="Arial" w:cs="Arial"/>
          <w:sz w:val="20"/>
          <w:szCs w:val="20"/>
        </w:rPr>
        <w:t xml:space="preserve"> considerando ser a mesma prima em 1º grau do Presidente do Tribunal de Justiça? Fundamente.</w:t>
      </w:r>
      <w:r w:rsidRPr="00C811B9">
        <w:rPr>
          <w:rFonts w:ascii="Arial" w:hAnsi="Arial" w:cs="Arial"/>
          <w:b/>
          <w:bCs/>
          <w:sz w:val="20"/>
          <w:szCs w:val="20"/>
        </w:rPr>
        <w:t xml:space="preserve"> (2 pontos)</w:t>
      </w:r>
    </w:p>
    <w:p w:rsidR="00862AC5" w:rsidRDefault="00862AC5" w:rsidP="00FF00C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62AC5" w:rsidRPr="00461A9E" w:rsidRDefault="00862AC5" w:rsidP="00862A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3575A">
        <w:rPr>
          <w:rFonts w:ascii="Arial" w:hAnsi="Arial" w:cs="Arial"/>
          <w:b/>
          <w:sz w:val="18"/>
          <w:szCs w:val="18"/>
          <w:highlight w:val="yellow"/>
          <w:u w:val="single"/>
        </w:rPr>
        <w:t>Gabarito:</w:t>
      </w:r>
      <w:r w:rsidRPr="0013575A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13575A">
        <w:rPr>
          <w:rFonts w:ascii="Arial" w:hAnsi="Arial" w:cs="Arial"/>
          <w:sz w:val="18"/>
          <w:szCs w:val="18"/>
          <w:highlight w:val="yellow"/>
        </w:rPr>
        <w:t xml:space="preserve">A súmula vinculante nº 13 do STF expressa uma interpretação do art. 37 da Constituição Federal (princípios da moralidade e da impessoalidade). O objetivo de ambas as regras é coibir que os interesses políticos interfiram no processo de escolha de agentes públicos em prejuízo ao interesse coletivo e à eficiência pública. a)  Sim, é legal, nos termos da Súmula Vinculante n 13, porque </w:t>
      </w:r>
      <w:r>
        <w:rPr>
          <w:rFonts w:ascii="Arial" w:hAnsi="Arial" w:cs="Arial"/>
          <w:sz w:val="18"/>
          <w:szCs w:val="18"/>
          <w:highlight w:val="yellow"/>
        </w:rPr>
        <w:t>Conceição</w:t>
      </w:r>
      <w:r w:rsidRPr="0013575A">
        <w:rPr>
          <w:rFonts w:ascii="Arial" w:hAnsi="Arial" w:cs="Arial"/>
          <w:sz w:val="18"/>
          <w:szCs w:val="18"/>
          <w:highlight w:val="yellow"/>
        </w:rPr>
        <w:t xml:space="preserve"> irá ocupar um cargo de confiança vinculada à pessoa jurídica do Tribunal de Justiça do Estado, e em que pese o Senador ter sido eleito pelo Estado, ocupa cargo pertencente à pessoa jurídica da União. b)</w:t>
      </w:r>
      <w:r>
        <w:rPr>
          <w:rFonts w:ascii="Arial" w:hAnsi="Arial" w:cs="Arial"/>
          <w:sz w:val="18"/>
          <w:szCs w:val="18"/>
          <w:highlight w:val="yellow"/>
        </w:rPr>
        <w:t xml:space="preserve"> Sim, é legal. </w:t>
      </w:r>
      <w:r w:rsidRPr="0013575A">
        <w:rPr>
          <w:rFonts w:ascii="Arial" w:hAnsi="Arial" w:cs="Arial"/>
          <w:sz w:val="18"/>
          <w:szCs w:val="18"/>
          <w:highlight w:val="yellow"/>
        </w:rPr>
        <w:t xml:space="preserve">Segundo o STF (MS 31697 julgado em 11 de março de 2014), a configuração do nepotismo NÃO decorre da simples existência de parentesco de forma objetiva. </w:t>
      </w:r>
      <w:r w:rsidRPr="0013575A">
        <w:rPr>
          <w:rFonts w:ascii="Arial" w:hAnsi="Arial" w:cs="Arial"/>
          <w:i/>
          <w:sz w:val="18"/>
          <w:szCs w:val="18"/>
          <w:highlight w:val="yellow"/>
        </w:rPr>
        <w:t>“Devem ser objeto de apuração as causas da nomeação, as aptidões do nomeado, a razoabilidade da remuneração recebida e a consecução do interesse público”</w:t>
      </w:r>
      <w:r w:rsidRPr="0013575A">
        <w:rPr>
          <w:rStyle w:val="Refdenotaderodap"/>
          <w:rFonts w:ascii="Arial" w:hAnsi="Arial" w:cs="Arial"/>
          <w:i/>
          <w:sz w:val="18"/>
          <w:szCs w:val="18"/>
          <w:highlight w:val="yellow"/>
        </w:rPr>
        <w:footnoteReference w:id="1"/>
      </w:r>
      <w:r w:rsidRPr="0013575A">
        <w:rPr>
          <w:rFonts w:ascii="Arial" w:hAnsi="Arial" w:cs="Arial"/>
          <w:i/>
          <w:sz w:val="18"/>
          <w:szCs w:val="18"/>
          <w:highlight w:val="yellow"/>
        </w:rPr>
        <w:t>.</w:t>
      </w:r>
      <w:r w:rsidRPr="0013575A">
        <w:rPr>
          <w:rFonts w:ascii="Arial" w:hAnsi="Arial" w:cs="Arial"/>
          <w:sz w:val="18"/>
          <w:szCs w:val="18"/>
          <w:highlight w:val="yellow"/>
        </w:rPr>
        <w:t xml:space="preserve"> O nepotismo só se configura quando a relação de parentesco é o MOTIVO da nomeação. Em outras palavras, quando o agente público não detém qualidade ou formação profissional, mas simples relação de parentesco com a autoridade nomeante. A mera qualidade de primo (parente de quarto grau), portanto, não encontra causa impeditiva pela vedação estabelecida pela Súmula Vinculante nº 13. Aliás, o grau de parentesco entre a filha do Senador e o Presidente do TJ (primos) sequer poderá ser atingida pela limitação imposta pela súmula – afinal, pois, veda-se nomeação de parente até o 3º grau.</w:t>
      </w:r>
      <w:r w:rsidRPr="00461A9E">
        <w:rPr>
          <w:rFonts w:ascii="Arial" w:hAnsi="Arial" w:cs="Arial"/>
          <w:sz w:val="18"/>
          <w:szCs w:val="18"/>
        </w:rPr>
        <w:t xml:space="preserve"> </w:t>
      </w:r>
    </w:p>
    <w:p w:rsidR="00FF00CD" w:rsidRDefault="00FF00CD" w:rsidP="00FF00C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811B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F00CD" w:rsidRDefault="00FF00CD" w:rsidP="00FF00C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F00CD" w:rsidRPr="00C811B9" w:rsidRDefault="00FF00CD" w:rsidP="00FF00C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F00CD" w:rsidRPr="00C36AD5" w:rsidRDefault="00FF00CD" w:rsidP="00FF00C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811B9">
        <w:rPr>
          <w:rFonts w:ascii="Arial" w:hAnsi="Arial" w:cs="Arial"/>
          <w:b/>
          <w:sz w:val="20"/>
          <w:szCs w:val="20"/>
        </w:rPr>
        <w:t xml:space="preserve">4. </w:t>
      </w:r>
      <w:r w:rsidRPr="00C811B9">
        <w:rPr>
          <w:rFonts w:ascii="Arial" w:hAnsi="Arial" w:cs="Arial"/>
          <w:sz w:val="20"/>
          <w:szCs w:val="20"/>
        </w:rPr>
        <w:t xml:space="preserve">No final de 2015, cerca de 200 escolas estaduais paulistas foram ocupadas por manifestantes contrários às alterações realizadas no Sistema Estadual de Ensino. O Secretário de Estado da Segurança Pública discricionariamente solicitou parecer jurídico à Procuradoria Geral do Estado sobre a possibilidade e limites do exercício pelo Estado das faculdades dispostas no art. 1.210, §1º do NCC. Discorrendo sobre polícia dos bens públicos e uso justificado do desforço imediato pelo Estado, no parecer exarado constou que </w:t>
      </w:r>
      <w:r w:rsidRPr="00C811B9">
        <w:rPr>
          <w:rFonts w:ascii="Arial" w:hAnsi="Arial" w:cs="Arial"/>
          <w:i/>
          <w:sz w:val="20"/>
          <w:szCs w:val="20"/>
        </w:rPr>
        <w:t>“à Administração Pública é facultado manter ou retomar a posse de seus bens em caso, respectivamente, de turbação ou esbulho, independentemente de ordem judicial”</w:t>
      </w:r>
      <w:r w:rsidRPr="00C811B9">
        <w:rPr>
          <w:rFonts w:ascii="Arial" w:hAnsi="Arial" w:cs="Arial"/>
          <w:sz w:val="20"/>
          <w:szCs w:val="20"/>
        </w:rPr>
        <w:t xml:space="preserve">. Esclarecendo a natureza jurídica dos bens públicos invadidos, </w:t>
      </w:r>
      <w:r w:rsidRPr="00C811B9">
        <w:rPr>
          <w:rFonts w:ascii="Arial" w:hAnsi="Arial" w:cs="Arial"/>
          <w:b/>
          <w:sz w:val="20"/>
          <w:szCs w:val="20"/>
        </w:rPr>
        <w:t>responda</w:t>
      </w:r>
      <w:r w:rsidRPr="00C811B9">
        <w:rPr>
          <w:rFonts w:ascii="Arial" w:hAnsi="Arial" w:cs="Arial"/>
          <w:sz w:val="20"/>
          <w:szCs w:val="20"/>
        </w:rPr>
        <w:t xml:space="preserve">: </w:t>
      </w:r>
      <w:r w:rsidRPr="00C811B9">
        <w:rPr>
          <w:rFonts w:ascii="Arial" w:hAnsi="Arial" w:cs="Arial"/>
          <w:b/>
          <w:sz w:val="20"/>
          <w:szCs w:val="20"/>
        </w:rPr>
        <w:t>a)</w:t>
      </w:r>
      <w:r w:rsidRPr="00C811B9">
        <w:rPr>
          <w:rFonts w:ascii="Arial" w:hAnsi="Arial" w:cs="Arial"/>
          <w:sz w:val="20"/>
          <w:szCs w:val="20"/>
        </w:rPr>
        <w:t xml:space="preserve"> pode a Administração Pública proceder, a qualquer tempo, à retomada da posse das escolas estaduais, inclusive valendo-se do uso de força policial, dispensando a adoção dos interditos possessórios? Por quê? Fundamente; </w:t>
      </w:r>
      <w:r w:rsidRPr="00C811B9">
        <w:rPr>
          <w:rFonts w:ascii="Arial" w:hAnsi="Arial" w:cs="Arial"/>
          <w:b/>
          <w:sz w:val="20"/>
          <w:szCs w:val="20"/>
        </w:rPr>
        <w:t>b)</w:t>
      </w:r>
      <w:r w:rsidRPr="00C811B9">
        <w:rPr>
          <w:rFonts w:ascii="Arial" w:hAnsi="Arial" w:cs="Arial"/>
          <w:sz w:val="20"/>
          <w:szCs w:val="20"/>
        </w:rPr>
        <w:t xml:space="preserve"> qual a natureza jurídica do parecer jurídico proferido pela Procuradoria Geral do Estado? Poderia em tese o Secretário Estadual de Segurança Pública desconsiderar o conteúdo de referido parecer decidindo, por exemplo, pela adoção dos interditos possessórios para viabilizar a retomada da posse dos bens públicos invadidos? Como? Fundamente. </w:t>
      </w:r>
      <w:r w:rsidRPr="00C811B9">
        <w:rPr>
          <w:rFonts w:ascii="Arial" w:hAnsi="Arial" w:cs="Arial"/>
          <w:b/>
          <w:bCs/>
          <w:sz w:val="20"/>
          <w:szCs w:val="20"/>
        </w:rPr>
        <w:t>(3 pontos)</w:t>
      </w:r>
    </w:p>
    <w:p w:rsidR="00B70D35" w:rsidRDefault="00B70D35" w:rsidP="00C7456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F00CD" w:rsidRPr="00FF00CD" w:rsidRDefault="00FF00CD" w:rsidP="00FF00CD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FF00CD">
        <w:rPr>
          <w:rFonts w:ascii="Arial" w:hAnsi="Arial" w:cs="Arial"/>
          <w:b/>
          <w:sz w:val="18"/>
          <w:szCs w:val="18"/>
          <w:highlight w:val="yellow"/>
        </w:rPr>
        <w:t xml:space="preserve">Gabarito: a) </w:t>
      </w:r>
      <w:r w:rsidRPr="00FF00CD">
        <w:rPr>
          <w:rFonts w:ascii="Arial" w:hAnsi="Arial" w:cs="Arial"/>
          <w:sz w:val="18"/>
          <w:szCs w:val="18"/>
          <w:highlight w:val="yellow"/>
        </w:rPr>
        <w:t xml:space="preserve">Considerando que as escolas públicas são, por excelência, bens públicos de uso especial (afetados ao exercício de serviço público essencial do Estado), seu regime jurídico é puramente publicístico. Nessa situação, a melhor doutrina (a exemplo de MEDAUAR e MEIRELLES) e jurisprudência são unânimes em apontar a possibilidade do exercício de autotutela administrativa para retomar a posse de bens comuns ou de uso especial diante de sua turbação ou esbulho. Enquanto ao sujeito privado é destinada, exclusivamente, a tutela de sua propriedade por intermédio do Poder Judiciário, à Administração Pública é facultado o exercício de sua autotutela, visando preservar os bens públicos contra sua apropriação indevida por </w:t>
      </w:r>
      <w:proofErr w:type="spellStart"/>
      <w:r w:rsidRPr="00FF00CD">
        <w:rPr>
          <w:rFonts w:ascii="Arial" w:hAnsi="Arial" w:cs="Arial"/>
          <w:sz w:val="18"/>
          <w:szCs w:val="18"/>
          <w:highlight w:val="yellow"/>
        </w:rPr>
        <w:t>terceiros.Situação</w:t>
      </w:r>
      <w:proofErr w:type="spellEnd"/>
      <w:r w:rsidRPr="00FF00CD">
        <w:rPr>
          <w:rFonts w:ascii="Arial" w:hAnsi="Arial" w:cs="Arial"/>
          <w:sz w:val="18"/>
          <w:szCs w:val="18"/>
          <w:highlight w:val="yellow"/>
        </w:rPr>
        <w:t xml:space="preserve"> contrária seria observável caso o bem público turbado ou esbulhado figurasse como “dominical”, cujas características de um regime jurídico público mitigado, aproximam-no do regime de direito privado (sendo necessário, portanto, o recurso ao Poder Judiciário).</w:t>
      </w:r>
      <w:r w:rsidRPr="00FF00CD">
        <w:rPr>
          <w:rFonts w:ascii="Arial" w:hAnsi="Arial" w:cs="Arial"/>
          <w:b/>
          <w:sz w:val="18"/>
          <w:szCs w:val="18"/>
          <w:highlight w:val="yellow"/>
        </w:rPr>
        <w:t xml:space="preserve"> b) </w:t>
      </w:r>
      <w:r w:rsidRPr="00FF00CD">
        <w:rPr>
          <w:rFonts w:ascii="Arial" w:hAnsi="Arial" w:cs="Arial"/>
          <w:sz w:val="18"/>
          <w:szCs w:val="18"/>
          <w:highlight w:val="yellow"/>
        </w:rPr>
        <w:t xml:space="preserve">Trata-se de parecer facultativo opinativo, emitido pelo Procurador Geral do Estado no bojo de suas competências de assessoria jurídica, não vinculando, portanto, a atuação do agente estatal. Na </w:t>
      </w:r>
      <w:r w:rsidRPr="00FF00CD">
        <w:rPr>
          <w:rFonts w:ascii="Arial" w:hAnsi="Arial" w:cs="Arial"/>
          <w:sz w:val="18"/>
          <w:szCs w:val="18"/>
          <w:highlight w:val="yellow"/>
        </w:rPr>
        <w:lastRenderedPageBreak/>
        <w:t>presença de parecer jurídico facultativo opinativo, é facultado ao órgão consulente seu acatamento, ou não; caso o Secretário não adira a referido parecer, a única consequência prática advirá da necessidade de motivar o porquê de não o fazer. No caso em tela, nos termos da decisão proferida no bojo da ADPF 412/DF, não advém efeitos concretos do parecer, posto se tratar de manifestação meramente opinativa (STF, ADPF 412/DF, rel. Min. Alexandre de Moraes, j. 12.05.2017)</w:t>
      </w:r>
      <w:r w:rsidRPr="00FF00CD">
        <w:rPr>
          <w:rFonts w:ascii="Arial" w:hAnsi="Arial" w:cs="Arial"/>
          <w:sz w:val="18"/>
          <w:szCs w:val="18"/>
          <w:highlight w:val="yellow"/>
        </w:rPr>
        <w:t>.</w:t>
      </w:r>
    </w:p>
    <w:p w:rsidR="00FF00CD" w:rsidRPr="00FF00CD" w:rsidRDefault="00FF00CD" w:rsidP="00C7456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FF00CD" w:rsidRPr="00FF00CD" w:rsidSect="004834D3">
      <w:footerReference w:type="default" r:id="rId8"/>
      <w:endnotePr>
        <w:numFmt w:val="chicago"/>
      </w:endnotePr>
      <w:pgSz w:w="11906" w:h="16838" w:code="9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9F" w:rsidRDefault="00472A9F" w:rsidP="00480FE4">
      <w:pPr>
        <w:spacing w:after="0" w:line="240" w:lineRule="auto"/>
      </w:pPr>
      <w:r>
        <w:separator/>
      </w:r>
    </w:p>
  </w:endnote>
  <w:endnote w:type="continuationSeparator" w:id="0">
    <w:p w:rsidR="00472A9F" w:rsidRDefault="00472A9F" w:rsidP="0048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406695"/>
      <w:docPartObj>
        <w:docPartGallery w:val="Page Numbers (Bottom of Page)"/>
        <w:docPartUnique/>
      </w:docPartObj>
    </w:sdtPr>
    <w:sdtEndPr/>
    <w:sdtContent>
      <w:p w:rsidR="00D26882" w:rsidRDefault="00D268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44">
          <w:rPr>
            <w:noProof/>
          </w:rPr>
          <w:t>1</w:t>
        </w:r>
        <w:r>
          <w:fldChar w:fldCharType="end"/>
        </w:r>
      </w:p>
    </w:sdtContent>
  </w:sdt>
  <w:p w:rsidR="00D26882" w:rsidRDefault="00D26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9F" w:rsidRDefault="00472A9F" w:rsidP="00480FE4">
      <w:pPr>
        <w:spacing w:after="0" w:line="240" w:lineRule="auto"/>
      </w:pPr>
      <w:r>
        <w:separator/>
      </w:r>
    </w:p>
  </w:footnote>
  <w:footnote w:type="continuationSeparator" w:id="0">
    <w:p w:rsidR="00472A9F" w:rsidRDefault="00472A9F" w:rsidP="00480FE4">
      <w:pPr>
        <w:spacing w:after="0" w:line="240" w:lineRule="auto"/>
      </w:pPr>
      <w:r>
        <w:continuationSeparator/>
      </w:r>
    </w:p>
  </w:footnote>
  <w:footnote w:id="1">
    <w:p w:rsidR="00862AC5" w:rsidRPr="0013575A" w:rsidRDefault="00862AC5" w:rsidP="00862AC5">
      <w:pPr>
        <w:pStyle w:val="Textodenotaderodap"/>
        <w:jc w:val="both"/>
        <w:rPr>
          <w:sz w:val="16"/>
          <w:szCs w:val="16"/>
        </w:rPr>
      </w:pPr>
      <w:r w:rsidRPr="0013575A">
        <w:rPr>
          <w:rStyle w:val="Refdenotaderodap"/>
          <w:sz w:val="16"/>
          <w:szCs w:val="16"/>
        </w:rPr>
        <w:footnoteRef/>
      </w:r>
      <w:r w:rsidRPr="0013575A">
        <w:rPr>
          <w:sz w:val="16"/>
          <w:szCs w:val="16"/>
        </w:rPr>
        <w:t xml:space="preserve"> GARCIA, Emerson. O nepotismo. Revista do Ministério Público. N. 19 (jan./jun. 2004). Rio de Janeiro: Ministério Público.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CA2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8D3532"/>
    <w:multiLevelType w:val="hybridMultilevel"/>
    <w:tmpl w:val="637AC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7637"/>
    <w:multiLevelType w:val="hybridMultilevel"/>
    <w:tmpl w:val="EF40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0D26"/>
    <w:multiLevelType w:val="hybridMultilevel"/>
    <w:tmpl w:val="34284D92"/>
    <w:lvl w:ilvl="0" w:tplc="5AC8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06A62"/>
    <w:multiLevelType w:val="hybridMultilevel"/>
    <w:tmpl w:val="34284D92"/>
    <w:lvl w:ilvl="0" w:tplc="5AC8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A7E5E"/>
    <w:multiLevelType w:val="hybridMultilevel"/>
    <w:tmpl w:val="34284D92"/>
    <w:lvl w:ilvl="0" w:tplc="5AC8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020E0"/>
    <w:multiLevelType w:val="hybridMultilevel"/>
    <w:tmpl w:val="11D8E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54571"/>
    <w:multiLevelType w:val="hybridMultilevel"/>
    <w:tmpl w:val="AC4C7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F0A5D"/>
    <w:multiLevelType w:val="hybridMultilevel"/>
    <w:tmpl w:val="34284D92"/>
    <w:lvl w:ilvl="0" w:tplc="5AC8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64975"/>
    <w:multiLevelType w:val="hybridMultilevel"/>
    <w:tmpl w:val="90826ACC"/>
    <w:lvl w:ilvl="0" w:tplc="80D8779A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A75BB"/>
    <w:multiLevelType w:val="hybridMultilevel"/>
    <w:tmpl w:val="F2263B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0081"/>
    <w:multiLevelType w:val="hybridMultilevel"/>
    <w:tmpl w:val="B5BEAD8E"/>
    <w:lvl w:ilvl="0" w:tplc="80D8779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47"/>
    <w:rsid w:val="00056A27"/>
    <w:rsid w:val="00082B64"/>
    <w:rsid w:val="00093F1E"/>
    <w:rsid w:val="000A63A4"/>
    <w:rsid w:val="000A7B6E"/>
    <w:rsid w:val="000C5700"/>
    <w:rsid w:val="000D2D5E"/>
    <w:rsid w:val="001074CD"/>
    <w:rsid w:val="001111AA"/>
    <w:rsid w:val="001136DE"/>
    <w:rsid w:val="0011375A"/>
    <w:rsid w:val="00113ACB"/>
    <w:rsid w:val="00116EB8"/>
    <w:rsid w:val="00117F8C"/>
    <w:rsid w:val="00131FE7"/>
    <w:rsid w:val="00132709"/>
    <w:rsid w:val="00135EB7"/>
    <w:rsid w:val="0013790F"/>
    <w:rsid w:val="00166956"/>
    <w:rsid w:val="001742E6"/>
    <w:rsid w:val="00181B89"/>
    <w:rsid w:val="001A4BA1"/>
    <w:rsid w:val="001C1B0B"/>
    <w:rsid w:val="001C2221"/>
    <w:rsid w:val="001E016C"/>
    <w:rsid w:val="001E248D"/>
    <w:rsid w:val="001F5E0B"/>
    <w:rsid w:val="00223174"/>
    <w:rsid w:val="00245434"/>
    <w:rsid w:val="002549C1"/>
    <w:rsid w:val="002630E6"/>
    <w:rsid w:val="002A1018"/>
    <w:rsid w:val="002B5191"/>
    <w:rsid w:val="002E53FB"/>
    <w:rsid w:val="00300AD5"/>
    <w:rsid w:val="00307E70"/>
    <w:rsid w:val="00310C53"/>
    <w:rsid w:val="00346923"/>
    <w:rsid w:val="003609AA"/>
    <w:rsid w:val="003836BF"/>
    <w:rsid w:val="00383FC2"/>
    <w:rsid w:val="003A0D75"/>
    <w:rsid w:val="003D4D63"/>
    <w:rsid w:val="003D77D1"/>
    <w:rsid w:val="003E1193"/>
    <w:rsid w:val="00404412"/>
    <w:rsid w:val="0040462D"/>
    <w:rsid w:val="004101FC"/>
    <w:rsid w:val="00415DB7"/>
    <w:rsid w:val="0043658F"/>
    <w:rsid w:val="00446990"/>
    <w:rsid w:val="00465A76"/>
    <w:rsid w:val="00470C70"/>
    <w:rsid w:val="00472A9F"/>
    <w:rsid w:val="00475DC9"/>
    <w:rsid w:val="004774CD"/>
    <w:rsid w:val="00480FE4"/>
    <w:rsid w:val="0048203F"/>
    <w:rsid w:val="00482374"/>
    <w:rsid w:val="004829AD"/>
    <w:rsid w:val="004834D3"/>
    <w:rsid w:val="00483757"/>
    <w:rsid w:val="00497990"/>
    <w:rsid w:val="004A70BB"/>
    <w:rsid w:val="004B7E44"/>
    <w:rsid w:val="004C687A"/>
    <w:rsid w:val="004D7C1D"/>
    <w:rsid w:val="004E4FA1"/>
    <w:rsid w:val="004F4DFA"/>
    <w:rsid w:val="004F7C2F"/>
    <w:rsid w:val="00502ED7"/>
    <w:rsid w:val="0050314B"/>
    <w:rsid w:val="00506696"/>
    <w:rsid w:val="00511AA7"/>
    <w:rsid w:val="00512B41"/>
    <w:rsid w:val="00516615"/>
    <w:rsid w:val="005234BF"/>
    <w:rsid w:val="005328E7"/>
    <w:rsid w:val="00537F77"/>
    <w:rsid w:val="00546153"/>
    <w:rsid w:val="0054771E"/>
    <w:rsid w:val="005506ED"/>
    <w:rsid w:val="00573A43"/>
    <w:rsid w:val="00573FBF"/>
    <w:rsid w:val="00583BD4"/>
    <w:rsid w:val="00590035"/>
    <w:rsid w:val="005A34FD"/>
    <w:rsid w:val="005A49DF"/>
    <w:rsid w:val="005A6B8A"/>
    <w:rsid w:val="005C31A7"/>
    <w:rsid w:val="005C77E8"/>
    <w:rsid w:val="005D5C06"/>
    <w:rsid w:val="005E6AC1"/>
    <w:rsid w:val="005F11C0"/>
    <w:rsid w:val="005F7647"/>
    <w:rsid w:val="006408E7"/>
    <w:rsid w:val="00640DF0"/>
    <w:rsid w:val="00664F18"/>
    <w:rsid w:val="006677AB"/>
    <w:rsid w:val="006907B8"/>
    <w:rsid w:val="006A0990"/>
    <w:rsid w:val="006E0309"/>
    <w:rsid w:val="006E6401"/>
    <w:rsid w:val="006F1023"/>
    <w:rsid w:val="007020C1"/>
    <w:rsid w:val="007020D4"/>
    <w:rsid w:val="007205C9"/>
    <w:rsid w:val="007205FE"/>
    <w:rsid w:val="00732090"/>
    <w:rsid w:val="00744336"/>
    <w:rsid w:val="00757835"/>
    <w:rsid w:val="00762416"/>
    <w:rsid w:val="007859AA"/>
    <w:rsid w:val="007A16FC"/>
    <w:rsid w:val="007A482F"/>
    <w:rsid w:val="007D6FD7"/>
    <w:rsid w:val="007F5AC9"/>
    <w:rsid w:val="008224D4"/>
    <w:rsid w:val="0082334A"/>
    <w:rsid w:val="00826790"/>
    <w:rsid w:val="00847D94"/>
    <w:rsid w:val="00860467"/>
    <w:rsid w:val="00861630"/>
    <w:rsid w:val="00862A6F"/>
    <w:rsid w:val="00862AC5"/>
    <w:rsid w:val="00865F6C"/>
    <w:rsid w:val="008720A6"/>
    <w:rsid w:val="00874FBC"/>
    <w:rsid w:val="00884112"/>
    <w:rsid w:val="008A6330"/>
    <w:rsid w:val="008B09D6"/>
    <w:rsid w:val="008B45BC"/>
    <w:rsid w:val="008C7001"/>
    <w:rsid w:val="008E7484"/>
    <w:rsid w:val="008F0332"/>
    <w:rsid w:val="008F69D7"/>
    <w:rsid w:val="0091246D"/>
    <w:rsid w:val="009139B9"/>
    <w:rsid w:val="00914E87"/>
    <w:rsid w:val="009316EA"/>
    <w:rsid w:val="00941E61"/>
    <w:rsid w:val="00954774"/>
    <w:rsid w:val="00956B71"/>
    <w:rsid w:val="00960DC8"/>
    <w:rsid w:val="009616ED"/>
    <w:rsid w:val="00966349"/>
    <w:rsid w:val="0097184E"/>
    <w:rsid w:val="00975C20"/>
    <w:rsid w:val="00982D03"/>
    <w:rsid w:val="00996FF9"/>
    <w:rsid w:val="009A26EC"/>
    <w:rsid w:val="009A35CE"/>
    <w:rsid w:val="009C24E6"/>
    <w:rsid w:val="009D1E79"/>
    <w:rsid w:val="009E7148"/>
    <w:rsid w:val="009F0E61"/>
    <w:rsid w:val="00A1714F"/>
    <w:rsid w:val="00A44C91"/>
    <w:rsid w:val="00A542A1"/>
    <w:rsid w:val="00A941CC"/>
    <w:rsid w:val="00AA001F"/>
    <w:rsid w:val="00AB3D4D"/>
    <w:rsid w:val="00AB7E01"/>
    <w:rsid w:val="00AC0476"/>
    <w:rsid w:val="00AE2871"/>
    <w:rsid w:val="00AE4AAA"/>
    <w:rsid w:val="00B01C4A"/>
    <w:rsid w:val="00B034A1"/>
    <w:rsid w:val="00B05288"/>
    <w:rsid w:val="00B0724A"/>
    <w:rsid w:val="00B13A3D"/>
    <w:rsid w:val="00B13B43"/>
    <w:rsid w:val="00B2360D"/>
    <w:rsid w:val="00B40FEB"/>
    <w:rsid w:val="00B4318E"/>
    <w:rsid w:val="00B52106"/>
    <w:rsid w:val="00B70D35"/>
    <w:rsid w:val="00B71FEF"/>
    <w:rsid w:val="00B945A7"/>
    <w:rsid w:val="00B955C2"/>
    <w:rsid w:val="00BA512F"/>
    <w:rsid w:val="00BB5ABB"/>
    <w:rsid w:val="00BC0A9A"/>
    <w:rsid w:val="00BC58BC"/>
    <w:rsid w:val="00BD7BEE"/>
    <w:rsid w:val="00BE0182"/>
    <w:rsid w:val="00BE0EC5"/>
    <w:rsid w:val="00BE2B32"/>
    <w:rsid w:val="00BE3FAA"/>
    <w:rsid w:val="00BF0890"/>
    <w:rsid w:val="00BF42B4"/>
    <w:rsid w:val="00C20347"/>
    <w:rsid w:val="00C22F00"/>
    <w:rsid w:val="00C33D04"/>
    <w:rsid w:val="00C36AD5"/>
    <w:rsid w:val="00C54A29"/>
    <w:rsid w:val="00C56E1B"/>
    <w:rsid w:val="00C74564"/>
    <w:rsid w:val="00C828B8"/>
    <w:rsid w:val="00C936D5"/>
    <w:rsid w:val="00CA0DE4"/>
    <w:rsid w:val="00CC4F7D"/>
    <w:rsid w:val="00CE49A7"/>
    <w:rsid w:val="00CE4E37"/>
    <w:rsid w:val="00CF6406"/>
    <w:rsid w:val="00CF7F60"/>
    <w:rsid w:val="00D0233F"/>
    <w:rsid w:val="00D04B9B"/>
    <w:rsid w:val="00D054F3"/>
    <w:rsid w:val="00D075D3"/>
    <w:rsid w:val="00D14D61"/>
    <w:rsid w:val="00D26882"/>
    <w:rsid w:val="00D41F1E"/>
    <w:rsid w:val="00D43F37"/>
    <w:rsid w:val="00D468B6"/>
    <w:rsid w:val="00D4703E"/>
    <w:rsid w:val="00D74AAA"/>
    <w:rsid w:val="00D8202A"/>
    <w:rsid w:val="00D87D11"/>
    <w:rsid w:val="00D919A5"/>
    <w:rsid w:val="00D9740A"/>
    <w:rsid w:val="00DD0D12"/>
    <w:rsid w:val="00DD4405"/>
    <w:rsid w:val="00DE7A34"/>
    <w:rsid w:val="00E02C52"/>
    <w:rsid w:val="00E04C7E"/>
    <w:rsid w:val="00E076AD"/>
    <w:rsid w:val="00E12DA9"/>
    <w:rsid w:val="00E14FA2"/>
    <w:rsid w:val="00E21BAA"/>
    <w:rsid w:val="00E27D82"/>
    <w:rsid w:val="00E44414"/>
    <w:rsid w:val="00E80492"/>
    <w:rsid w:val="00E80636"/>
    <w:rsid w:val="00E859CA"/>
    <w:rsid w:val="00EB5D21"/>
    <w:rsid w:val="00EC738F"/>
    <w:rsid w:val="00ED3411"/>
    <w:rsid w:val="00EE1284"/>
    <w:rsid w:val="00EF288E"/>
    <w:rsid w:val="00EF73F6"/>
    <w:rsid w:val="00F037EB"/>
    <w:rsid w:val="00F12147"/>
    <w:rsid w:val="00F255C4"/>
    <w:rsid w:val="00F30872"/>
    <w:rsid w:val="00F36122"/>
    <w:rsid w:val="00F41FD5"/>
    <w:rsid w:val="00F42375"/>
    <w:rsid w:val="00F43498"/>
    <w:rsid w:val="00F602A5"/>
    <w:rsid w:val="00F61BDD"/>
    <w:rsid w:val="00F65C9C"/>
    <w:rsid w:val="00F87A78"/>
    <w:rsid w:val="00FA4798"/>
    <w:rsid w:val="00FA68AC"/>
    <w:rsid w:val="00FC0B2B"/>
    <w:rsid w:val="00FC14B9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0466"/>
  <w15:docId w15:val="{97275826-3EA7-47ED-BC08-013F830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5700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C936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936D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40FEB"/>
    <w:rPr>
      <w:b/>
      <w:bCs/>
    </w:rPr>
  </w:style>
  <w:style w:type="paragraph" w:styleId="Textodenotaderodap">
    <w:name w:val="footnote text"/>
    <w:aliases w:val="Nota de rodapé"/>
    <w:basedOn w:val="Normal"/>
    <w:link w:val="TextodenotaderodapChar"/>
    <w:uiPriority w:val="99"/>
    <w:unhideWhenUsed/>
    <w:rsid w:val="000A63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uiPriority w:val="99"/>
    <w:rsid w:val="000A63A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0FE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80FE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80FE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80F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8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80FE4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233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3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F4DFA"/>
  </w:style>
  <w:style w:type="character" w:customStyle="1" w:styleId="il">
    <w:name w:val="il"/>
    <w:basedOn w:val="Fontepargpadro"/>
    <w:rsid w:val="004F4DFA"/>
  </w:style>
  <w:style w:type="paragraph" w:styleId="Cabealho">
    <w:name w:val="header"/>
    <w:basedOn w:val="Normal"/>
    <w:link w:val="CabealhoChar"/>
    <w:uiPriority w:val="99"/>
    <w:unhideWhenUsed/>
    <w:rsid w:val="00D26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882"/>
  </w:style>
  <w:style w:type="paragraph" w:styleId="Rodap">
    <w:name w:val="footer"/>
    <w:basedOn w:val="Normal"/>
    <w:link w:val="RodapChar"/>
    <w:uiPriority w:val="99"/>
    <w:unhideWhenUsed/>
    <w:rsid w:val="00D26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8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8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1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4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7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8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FC55-1EE1-403F-B0C2-1811F92F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1806</Words>
  <Characters>9756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Oliveira</dc:creator>
  <cp:lastModifiedBy>Gustavo Justino de Oliveira</cp:lastModifiedBy>
  <cp:revision>8</cp:revision>
  <cp:lastPrinted>2016-11-03T19:03:00Z</cp:lastPrinted>
  <dcterms:created xsi:type="dcterms:W3CDTF">2016-11-03T18:38:00Z</dcterms:created>
  <dcterms:modified xsi:type="dcterms:W3CDTF">2017-11-08T01:39:00Z</dcterms:modified>
</cp:coreProperties>
</file>