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1C28" w:rsidRDefault="001C1C28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2242"/>
        <w:gridCol w:w="2995"/>
        <w:gridCol w:w="2102"/>
      </w:tblGrid>
      <w:tr w:rsidR="001C1C28">
        <w:tc>
          <w:tcPr>
            <w:tcW w:w="1949" w:type="dxa"/>
            <w:tcBorders>
              <w:bottom w:val="single" w:sz="4" w:space="0" w:color="000000"/>
            </w:tcBorders>
            <w:shd w:val="clear" w:color="auto" w:fill="000000"/>
          </w:tcPr>
          <w:p w:rsidR="001C1C28" w:rsidRDefault="00DC7A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FAMILLES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000000"/>
          </w:tcPr>
          <w:p w:rsidR="001C1C28" w:rsidRDefault="00DC7A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CATEGORIES</w:t>
            </w:r>
          </w:p>
        </w:tc>
        <w:tc>
          <w:tcPr>
            <w:tcW w:w="2995" w:type="dxa"/>
            <w:shd w:val="clear" w:color="auto" w:fill="000000"/>
          </w:tcPr>
          <w:p w:rsidR="001C1C28" w:rsidRDefault="00DC7A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SOUS-CATEGORIES</w:t>
            </w:r>
          </w:p>
        </w:tc>
        <w:tc>
          <w:tcPr>
            <w:tcW w:w="2102" w:type="dxa"/>
            <w:shd w:val="clear" w:color="auto" w:fill="000000"/>
          </w:tcPr>
          <w:p w:rsidR="001C1C28" w:rsidRDefault="00DC7A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ABREVIATIONS</w:t>
            </w:r>
          </w:p>
        </w:tc>
      </w:tr>
      <w:tr w:rsidR="001C1C28">
        <w:tc>
          <w:tcPr>
            <w:tcW w:w="1949" w:type="dxa"/>
            <w:tcBorders>
              <w:bottom w:val="nil"/>
            </w:tcBorders>
            <w:shd w:val="clear" w:color="auto" w:fill="0070C0"/>
          </w:tcPr>
          <w:p w:rsidR="001C1C28" w:rsidRDefault="00DC7A8B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Quem </w:t>
            </w:r>
            <w:r>
              <w:rPr>
                <w:b/>
                <w:color w:val="FFFFFF"/>
                <w:sz w:val="20"/>
                <w:szCs w:val="20"/>
              </w:rPr>
              <w:t xml:space="preserve">? 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C6D9F1"/>
          </w:tcPr>
          <w:p w:rsidR="001C1C28" w:rsidRDefault="00DC7A8B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Produção agrícola</w:t>
            </w: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Iniciativas individuais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PROD-indiv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DC7A8B">
            <w:pPr>
              <w:spacing w:after="0" w:line="240" w:lineRule="auto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Atores que começaram a iniciativa</w:t>
            </w: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Associações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PROD-asso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Cooperativas</w:t>
            </w:r>
            <w:r>
              <w:rPr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PROD-coop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Instituições de formação</w:t>
            </w:r>
            <w:r>
              <w:rPr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PROD-form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C6D9F1"/>
          </w:tcPr>
          <w:p w:rsidR="001C1C28" w:rsidRDefault="00DC7A8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Produção de serviços de acompanhamento ou de apoio</w:t>
            </w:r>
          </w:p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Atores de mediação entre atores da cadeia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SERV-intermed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 xml:space="preserve">Atores </w:t>
            </w:r>
            <w:r>
              <w:rPr>
                <w:i/>
                <w:color w:val="0000FF"/>
                <w:sz w:val="20"/>
                <w:szCs w:val="20"/>
              </w:rPr>
              <w:t>de apoio ao empreendedorismo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SERV-aide-entrepr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Coletividades territoriais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SERV-collect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Ator</w:t>
            </w:r>
            <w:r>
              <w:rPr>
                <w:i/>
                <w:color w:val="0000FF"/>
                <w:sz w:val="20"/>
                <w:szCs w:val="20"/>
              </w:rPr>
              <w:t>es no apoio jurídico e técnico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SERV-jurid-techn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8" w:space="0" w:color="434343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Atores na disponibilização de ferramentas da produção agrícola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SERV-dispo-outil-prod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434343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8" w:space="0" w:color="434343"/>
              <w:left w:val="single" w:sz="4" w:space="0" w:color="434343"/>
              <w:bottom w:val="nil"/>
              <w:right w:val="single" w:sz="4" w:space="0" w:color="434343"/>
            </w:tcBorders>
            <w:shd w:val="clear" w:color="auto" w:fill="C6D9F1"/>
          </w:tcPr>
          <w:p w:rsidR="001C1C28" w:rsidRDefault="00DC7A8B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Distribuição</w:t>
            </w:r>
          </w:p>
        </w:tc>
        <w:tc>
          <w:tcPr>
            <w:tcW w:w="2995" w:type="dxa"/>
            <w:tcBorders>
              <w:left w:val="single" w:sz="4" w:space="0" w:color="434343"/>
            </w:tcBorders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Associações de distribuição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DISTRI-asso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Pequenos comércios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DISTRI-petit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Venda ao ar livre/ Ambulante/Móvel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DISTRI-mobile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Venda online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DISTRI-en-ligne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Grande distribuição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DISTRI-grande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C6D9F1"/>
          </w:tcPr>
          <w:p w:rsidR="001C1C28" w:rsidRDefault="00DC7A8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Consumo</w:t>
            </w:r>
          </w:p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Associações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CONSO-asso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Consumidores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CONSO-mmateurs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Associações de consumidores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CONSO-asso-conso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C6D9F1"/>
          </w:tcPr>
          <w:p w:rsidR="001C1C28" w:rsidRDefault="00DC7A8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Transformação</w:t>
            </w:r>
            <w:r>
              <w:rPr>
                <w:color w:val="0000FF"/>
                <w:sz w:val="20"/>
                <w:szCs w:val="20"/>
              </w:rPr>
              <w:t> </w:t>
            </w:r>
          </w:p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Associações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TRANS-asso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Empresas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TRANS-entrep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Cooperativas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TRANS-coop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C6D9F1"/>
          </w:tcPr>
          <w:p w:rsidR="001C1C28" w:rsidRDefault="00DC7A8B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Valorização não alimentar de produtos alimentares</w:t>
            </w: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Associações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VAL-asso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Empresas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VAL-entrep</w:t>
            </w:r>
          </w:p>
        </w:tc>
      </w:tr>
      <w:tr w:rsidR="001C1C28">
        <w:tc>
          <w:tcPr>
            <w:tcW w:w="1949" w:type="dxa"/>
            <w:tcBorders>
              <w:top w:val="nil"/>
              <w:bottom w:val="single" w:sz="4" w:space="0" w:color="000000"/>
            </w:tcBorders>
            <w:shd w:val="clear" w:color="auto" w:fill="0070C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1C1C28" w:rsidRDefault="001C1C28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Restaura</w:t>
            </w:r>
            <w:r>
              <w:rPr>
                <w:i/>
                <w:color w:val="0000FF"/>
                <w:sz w:val="20"/>
                <w:szCs w:val="20"/>
              </w:rPr>
              <w:t>ntes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VAL-restau</w:t>
            </w:r>
          </w:p>
        </w:tc>
      </w:tr>
      <w:tr w:rsidR="001C1C28">
        <w:tc>
          <w:tcPr>
            <w:tcW w:w="1949" w:type="dxa"/>
            <w:tcBorders>
              <w:bottom w:val="nil"/>
            </w:tcBorders>
            <w:shd w:val="clear" w:color="auto" w:fill="E36C09"/>
          </w:tcPr>
          <w:p w:rsidR="001C1C28" w:rsidRDefault="00DC7A8B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 quê</w:t>
            </w:r>
            <w:r>
              <w:rPr>
                <w:b/>
                <w:color w:val="FFFFFF"/>
                <w:sz w:val="20"/>
                <w:szCs w:val="20"/>
              </w:rPr>
              <w:t>?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FBD5B5"/>
          </w:tcPr>
          <w:p w:rsidR="001C1C28" w:rsidRDefault="00DC7A8B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  <w:r>
              <w:rPr>
                <w:color w:val="E36C09"/>
                <w:sz w:val="20"/>
                <w:szCs w:val="20"/>
              </w:rPr>
              <w:t>Produção agrícola</w:t>
            </w:r>
          </w:p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Produção de nicho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PROD-niche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DC7A8B">
            <w:pPr>
              <w:spacing w:after="0" w:line="240" w:lineRule="auto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Os tipos de ações desenvolvidas</w:t>
            </w: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Incubadoras agrícolas e micro-propriedade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PROD-micro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Agricultura urbana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PROD-urbain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FBD5B5"/>
          </w:tcPr>
          <w:p w:rsidR="001C1C28" w:rsidRDefault="00DC7A8B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  <w:r>
              <w:rPr>
                <w:color w:val="E36C09"/>
                <w:sz w:val="20"/>
                <w:szCs w:val="20"/>
              </w:rPr>
              <w:t>Consumo alimentar</w:t>
            </w: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Alimentação solidária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CONSO-solidaire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Luta contra o desperdício alimentar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CONSO-gaspillage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Alimentação coletiva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CONSO-restau-collective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FBD5B5"/>
          </w:tcPr>
          <w:p w:rsidR="001C1C28" w:rsidRDefault="00DC7A8B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  <w:r>
              <w:rPr>
                <w:color w:val="E36C09"/>
                <w:sz w:val="20"/>
                <w:szCs w:val="20"/>
              </w:rPr>
              <w:t>Comercialização</w:t>
            </w:r>
          </w:p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Modo de comercialização inovador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COMMER-innovant</w:t>
            </w:r>
          </w:p>
        </w:tc>
      </w:tr>
      <w:tr w:rsidR="001C1C28">
        <w:tc>
          <w:tcPr>
            <w:tcW w:w="1949" w:type="dxa"/>
            <w:tcBorders>
              <w:top w:val="nil"/>
              <w:bottom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Criação de circuitos de proximidade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COMMER-proximité</w:t>
            </w:r>
          </w:p>
        </w:tc>
      </w:tr>
      <w:tr w:rsidR="001C1C2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5B5"/>
          </w:tcPr>
          <w:p w:rsidR="001C1C28" w:rsidRDefault="00DC7A8B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  <w:r>
              <w:rPr>
                <w:color w:val="E36C09"/>
                <w:sz w:val="20"/>
                <w:szCs w:val="20"/>
              </w:rPr>
              <w:t>Produção de serviços</w:t>
            </w:r>
          </w:p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Fomentar o diálogo entre atores da cadeia agroalimentar e compartilhamento de informações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SERV-relation</w:t>
            </w:r>
          </w:p>
        </w:tc>
      </w:tr>
      <w:tr w:rsidR="001C1C28"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Acompanhamento na gestão das propriedades agrícolas</w:t>
            </w:r>
            <w:r>
              <w:rPr>
                <w:i/>
                <w:color w:val="E36C09"/>
                <w:sz w:val="20"/>
                <w:szCs w:val="20"/>
              </w:rPr>
              <w:t> 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SERV-gestion</w:t>
            </w:r>
          </w:p>
        </w:tc>
      </w:tr>
      <w:tr w:rsidR="001C1C28"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rPr>
                <w:i/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Locação de equipamentos para a transformação alimentar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SERV-équipement</w:t>
            </w:r>
          </w:p>
        </w:tc>
      </w:tr>
      <w:tr w:rsidR="001C1C28"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rPr>
                <w:color w:val="E36C09"/>
              </w:rPr>
            </w:pPr>
            <w:r>
              <w:rPr>
                <w:i/>
                <w:color w:val="E36C09"/>
                <w:sz w:val="20"/>
                <w:szCs w:val="20"/>
              </w:rPr>
              <w:t>Rotulação e desenvolvimento da rastreabilidade do produto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SERV-labellisation</w:t>
            </w:r>
          </w:p>
        </w:tc>
      </w:tr>
      <w:tr w:rsidR="001C1C28">
        <w:tc>
          <w:tcPr>
            <w:tcW w:w="1949" w:type="dxa"/>
            <w:tcBorders>
              <w:top w:val="single" w:sz="4" w:space="0" w:color="000000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bottom w:val="nil"/>
            </w:tcBorders>
            <w:shd w:val="clear" w:color="auto" w:fill="FBD5B5"/>
          </w:tcPr>
          <w:p w:rsidR="001C1C28" w:rsidRDefault="00DC7A8B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  <w:r>
              <w:rPr>
                <w:color w:val="E36C09"/>
                <w:sz w:val="20"/>
                <w:szCs w:val="20"/>
              </w:rPr>
              <w:t>Valorização não-alimentar</w:t>
            </w:r>
          </w:p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  <w:p w:rsidR="001C1C28" w:rsidRDefault="001C1C28">
            <w:pPr>
              <w:spacing w:after="0" w:line="240" w:lineRule="auto"/>
              <w:rPr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Valorização pedagó</w:t>
            </w:r>
            <w:r>
              <w:rPr>
                <w:i/>
                <w:color w:val="E36C09"/>
                <w:sz w:val="20"/>
                <w:szCs w:val="20"/>
              </w:rPr>
              <w:t>gica, sensibilização do grande público ou de um público alvo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VAL-pédagogique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Ecoturism</w:t>
            </w:r>
            <w:r>
              <w:rPr>
                <w:i/>
                <w:color w:val="E36C09"/>
                <w:sz w:val="20"/>
                <w:szCs w:val="20"/>
              </w:rPr>
              <w:t>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VAL-écotourisme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Valorização dos resíduos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VAL-déchets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E36C09"/>
          </w:tcPr>
          <w:p w:rsidR="001C1C28" w:rsidRDefault="00DC7A8B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Plaidoyer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i/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Ca</w:t>
            </w:r>
            <w:r>
              <w:rPr>
                <w:i/>
                <w:color w:val="E36C09"/>
                <w:sz w:val="20"/>
                <w:szCs w:val="20"/>
              </w:rPr>
              <w:t>mpanha de incidência política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VAL-plaidoyer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bottom w:val="nil"/>
            </w:tcBorders>
            <w:shd w:val="clear" w:color="auto" w:fill="FBD5B5"/>
          </w:tcPr>
          <w:p w:rsidR="001C1C28" w:rsidRDefault="00DC7A8B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  <w:r>
              <w:rPr>
                <w:color w:val="E36C09"/>
                <w:sz w:val="20"/>
                <w:szCs w:val="20"/>
              </w:rPr>
              <w:t>Transformação</w:t>
            </w: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E36C09"/>
                <w:sz w:val="20"/>
                <w:szCs w:val="20"/>
              </w:rPr>
            </w:pPr>
            <w:r>
              <w:rPr>
                <w:i/>
                <w:color w:val="E36C09"/>
                <w:sz w:val="20"/>
                <w:szCs w:val="20"/>
              </w:rPr>
              <w:t>Transformação de produtos de nicho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TRANS-niche</w:t>
            </w:r>
          </w:p>
        </w:tc>
      </w:tr>
      <w:tr w:rsidR="001C1C28">
        <w:tc>
          <w:tcPr>
            <w:tcW w:w="1949" w:type="dxa"/>
            <w:tcBorders>
              <w:top w:val="nil"/>
              <w:bottom w:val="single" w:sz="4" w:space="0" w:color="000000"/>
            </w:tcBorders>
            <w:shd w:val="clear" w:color="auto" w:fill="E36C09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FBD5B5"/>
          </w:tcPr>
          <w:p w:rsidR="001C1C28" w:rsidRDefault="001C1C28">
            <w:pPr>
              <w:spacing w:after="0" w:line="240" w:lineRule="auto"/>
              <w:rPr>
                <w:b/>
                <w:color w:val="E36C09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rPr>
                <w:color w:val="E36C09"/>
              </w:rPr>
            </w:pPr>
            <w:r>
              <w:rPr>
                <w:i/>
                <w:color w:val="E36C09"/>
                <w:sz w:val="20"/>
                <w:szCs w:val="20"/>
              </w:rPr>
              <w:t>Inserção profissional de trabalhadores deficientes ou em dificuldade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TRANS-handicapés​</w:t>
            </w:r>
          </w:p>
        </w:tc>
      </w:tr>
      <w:tr w:rsidR="001C1C28">
        <w:tc>
          <w:tcPr>
            <w:tcW w:w="1949" w:type="dxa"/>
            <w:tcBorders>
              <w:bottom w:val="nil"/>
            </w:tcBorders>
            <w:shd w:val="clear" w:color="auto" w:fill="00B050"/>
          </w:tcPr>
          <w:p w:rsidR="001C1C28" w:rsidRDefault="00DC7A8B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Porque</w:t>
            </w:r>
            <w:r>
              <w:rPr>
                <w:b/>
                <w:color w:val="FFFFFF"/>
                <w:sz w:val="20"/>
                <w:szCs w:val="20"/>
              </w:rPr>
              <w:t xml:space="preserve">? 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D7E3BC"/>
          </w:tcPr>
          <w:p w:rsidR="001C1C28" w:rsidRDefault="00DC7A8B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Externalidade sociais</w:t>
            </w: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Melhora de saúde por uma alimentação saudável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SOC-santé 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DC7A8B">
            <w:pPr>
              <w:spacing w:after="0" w:line="240" w:lineRule="auto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As externalidades da iniciativa</w:t>
            </w: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Ajuda e inserção de pessoas em dificuldade ( deficientes, desempregados…)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SOC-pers-difficulté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Contribuição a manutenção e a criação de empregos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SOC-emplois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Criação e fortalecimento dos laços sociais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SOC-lien-social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D7E3BC"/>
          </w:tcPr>
          <w:p w:rsidR="001C1C28" w:rsidRDefault="00DC7A8B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E</w:t>
            </w:r>
            <w:r>
              <w:rPr>
                <w:color w:val="00B050"/>
                <w:sz w:val="20"/>
                <w:szCs w:val="20"/>
              </w:rPr>
              <w:t>xternalidade pedagógica</w:t>
            </w:r>
          </w:p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Informação para todos os públicos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PEDA-tous-publics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000000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Educação das crianças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PEDA-enfants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</w:tcPr>
          <w:p w:rsidR="001C1C28" w:rsidRDefault="00DC7A8B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Externalidades ambientais</w:t>
            </w: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Descarbonização das cadeias agroalimentares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ENV-décarbonisation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Conservação da biodiversidade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ENV-biodiversité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Contribuição a fertilidade dos solos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ENV-sols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Preservação a qualidade da água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ENV-eaux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  <w:right w:val="single" w:sz="4" w:space="0" w:color="000000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000000"/>
            </w:tcBorders>
          </w:tcPr>
          <w:p w:rsidR="001C1C28" w:rsidRDefault="00DC7A8B">
            <w:pPr>
              <w:spacing w:before="100" w:after="100" w:line="240" w:lineRule="auto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Tratamento de resíduos e fortalecimento da economia circular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ENV-eco-circuclaire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bottom w:val="nil"/>
            </w:tcBorders>
            <w:shd w:val="clear" w:color="auto" w:fill="D7E3BC"/>
          </w:tcPr>
          <w:p w:rsidR="001C1C28" w:rsidRDefault="00DC7A8B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Externalidades culturais</w:t>
            </w: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Manutenção de patrimônios alimentares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CULT-patrim-alim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Qualidade e diversidade das paisagens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CULT-paysages</w:t>
            </w:r>
          </w:p>
        </w:tc>
      </w:tr>
      <w:tr w:rsidR="001C1C28">
        <w:tc>
          <w:tcPr>
            <w:tcW w:w="1949" w:type="dxa"/>
            <w:tcBorders>
              <w:top w:val="nil"/>
              <w:bottom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spacing w:before="100" w:after="100" w:line="240" w:lineRule="auto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Manutenção do patrimônio natural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CULT-patrim-nat </w:t>
            </w:r>
          </w:p>
        </w:tc>
      </w:tr>
      <w:tr w:rsidR="001C1C28">
        <w:tc>
          <w:tcPr>
            <w:tcW w:w="1949" w:type="dxa"/>
            <w:tcBorders>
              <w:top w:val="nil"/>
            </w:tcBorders>
            <w:shd w:val="clear" w:color="auto" w:fill="00B050"/>
          </w:tcPr>
          <w:p w:rsidR="001C1C28" w:rsidRDefault="001C1C28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</w:tcBorders>
            <w:shd w:val="clear" w:color="auto" w:fill="D7E3BC"/>
          </w:tcPr>
          <w:p w:rsidR="001C1C28" w:rsidRDefault="001C1C2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2995" w:type="dxa"/>
          </w:tcPr>
          <w:p w:rsidR="001C1C28" w:rsidRDefault="00DC7A8B">
            <w:pPr>
              <w:rPr>
                <w:color w:val="00B050"/>
              </w:rPr>
            </w:pPr>
            <w:r>
              <w:rPr>
                <w:i/>
                <w:color w:val="00B050"/>
                <w:sz w:val="20"/>
                <w:szCs w:val="20"/>
              </w:rPr>
              <w:t>Valorização do patrimônio técnico</w:t>
            </w:r>
          </w:p>
        </w:tc>
        <w:tc>
          <w:tcPr>
            <w:tcW w:w="2102" w:type="dxa"/>
          </w:tcPr>
          <w:p w:rsidR="001C1C28" w:rsidRDefault="00DC7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CULT-patrim-techn</w:t>
            </w:r>
          </w:p>
        </w:tc>
      </w:tr>
    </w:tbl>
    <w:p w:rsidR="001C1C28" w:rsidRDefault="001C1C28">
      <w:pPr>
        <w:rPr>
          <w:sz w:val="20"/>
          <w:szCs w:val="20"/>
        </w:rPr>
      </w:pPr>
    </w:p>
    <w:sectPr w:rsidR="001C1C28">
      <w:headerReference w:type="default" r:id="rId6"/>
      <w:footerReference w:type="default" r:id="rId7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7A8B">
      <w:pPr>
        <w:spacing w:after="0" w:line="240" w:lineRule="auto"/>
      </w:pPr>
      <w:r>
        <w:separator/>
      </w:r>
    </w:p>
  </w:endnote>
  <w:endnote w:type="continuationSeparator" w:id="0">
    <w:p w:rsidR="00000000" w:rsidRDefault="00DC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C28" w:rsidRDefault="00DC7A8B">
    <w:pPr>
      <w:tabs>
        <w:tab w:val="center" w:pos="4536"/>
        <w:tab w:val="right" w:pos="9072"/>
      </w:tabs>
      <w:spacing w:after="708" w:line="240" w:lineRule="auto"/>
      <w:jc w:val="right"/>
      <w:rPr>
        <w:i/>
        <w:color w:val="984806"/>
      </w:rPr>
    </w:pPr>
    <w:r>
      <w:rPr>
        <w:i/>
        <w:color w:val="984806"/>
      </w:rPr>
      <w:t xml:space="preserve">Page </w:t>
    </w:r>
    <w:r>
      <w:rPr>
        <w:i/>
        <w:color w:val="984806"/>
        <w:sz w:val="24"/>
        <w:szCs w:val="24"/>
      </w:rPr>
      <w:fldChar w:fldCharType="begin"/>
    </w:r>
    <w:r>
      <w:rPr>
        <w:i/>
        <w:color w:val="984806"/>
        <w:sz w:val="24"/>
        <w:szCs w:val="24"/>
      </w:rPr>
      <w:instrText>PAGE</w:instrText>
    </w:r>
    <w:r>
      <w:rPr>
        <w:i/>
        <w:color w:val="984806"/>
        <w:sz w:val="24"/>
        <w:szCs w:val="24"/>
      </w:rPr>
      <w:fldChar w:fldCharType="separate"/>
    </w:r>
    <w:r>
      <w:rPr>
        <w:i/>
        <w:noProof/>
        <w:color w:val="984806"/>
        <w:sz w:val="24"/>
        <w:szCs w:val="24"/>
      </w:rPr>
      <w:t>1</w:t>
    </w:r>
    <w:r>
      <w:rPr>
        <w:i/>
        <w:color w:val="984806"/>
        <w:sz w:val="24"/>
        <w:szCs w:val="24"/>
      </w:rPr>
      <w:fldChar w:fldCharType="end"/>
    </w:r>
    <w:r>
      <w:rPr>
        <w:i/>
        <w:color w:val="984806"/>
      </w:rPr>
      <w:t xml:space="preserve"> </w:t>
    </w:r>
    <w:r>
      <w:rPr>
        <w:i/>
        <w:color w:val="984806"/>
      </w:rPr>
      <w:t xml:space="preserve">sur </w:t>
    </w:r>
    <w:r>
      <w:rPr>
        <w:i/>
        <w:color w:val="984806"/>
        <w:sz w:val="24"/>
        <w:szCs w:val="24"/>
      </w:rPr>
      <w:fldChar w:fldCharType="begin"/>
    </w:r>
    <w:r>
      <w:rPr>
        <w:i/>
        <w:color w:val="984806"/>
        <w:sz w:val="24"/>
        <w:szCs w:val="24"/>
      </w:rPr>
      <w:instrText>NUMPAGES</w:instrText>
    </w:r>
    <w:r>
      <w:rPr>
        <w:i/>
        <w:color w:val="984806"/>
        <w:sz w:val="24"/>
        <w:szCs w:val="24"/>
      </w:rPr>
      <w:fldChar w:fldCharType="separate"/>
    </w:r>
    <w:r>
      <w:rPr>
        <w:i/>
        <w:noProof/>
        <w:color w:val="984806"/>
        <w:sz w:val="24"/>
        <w:szCs w:val="24"/>
      </w:rPr>
      <w:t>3</w:t>
    </w:r>
    <w:r>
      <w:rPr>
        <w:i/>
        <w:color w:val="984806"/>
        <w:sz w:val="24"/>
        <w:szCs w:val="24"/>
      </w:rPr>
      <w:fldChar w:fldCharType="end"/>
    </w:r>
  </w:p>
  <w:p w:rsidR="001C1C28" w:rsidRDefault="001C1C28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7A8B">
      <w:pPr>
        <w:spacing w:after="0" w:line="240" w:lineRule="auto"/>
      </w:pPr>
      <w:r>
        <w:separator/>
      </w:r>
    </w:p>
  </w:footnote>
  <w:footnote w:type="continuationSeparator" w:id="0">
    <w:p w:rsidR="00000000" w:rsidRDefault="00DC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C28" w:rsidRDefault="00DC7A8B">
    <w:pPr>
      <w:tabs>
        <w:tab w:val="center" w:pos="4536"/>
        <w:tab w:val="right" w:pos="9072"/>
      </w:tabs>
      <w:spacing w:before="708" w:after="0" w:line="240" w:lineRule="auto"/>
      <w:jc w:val="right"/>
      <w:rPr>
        <w:b/>
        <w:i/>
        <w:color w:val="984806"/>
        <w:sz w:val="24"/>
        <w:szCs w:val="24"/>
      </w:rPr>
    </w:pPr>
    <w:r>
      <w:rPr>
        <w:b/>
        <w:i/>
        <w:color w:val="984806"/>
        <w:sz w:val="24"/>
        <w:szCs w:val="24"/>
      </w:rPr>
      <w:t>TYPOLOGIE SAT (avril 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8"/>
    <w:rsid w:val="001C1C28"/>
    <w:rsid w:val="00D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7DD1-0397-4602-AD3C-6CF3A3BA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fr-F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 w:line="259" w:lineRule="auto"/>
      <w:outlineLvl w:val="0"/>
    </w:pPr>
    <w:rPr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 w:line="259" w:lineRule="auto"/>
      <w:outlineLvl w:val="1"/>
    </w:pPr>
    <w:rPr>
      <w:i/>
      <w:color w:val="4F81BD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  <w:jc w:val="center"/>
    </w:pPr>
    <w:rPr>
      <w:b/>
      <w:color w:val="C0504D"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de Lucas</dc:creator>
  <cp:lastModifiedBy>Ademir de Lucas</cp:lastModifiedBy>
  <cp:revision>2</cp:revision>
  <dcterms:created xsi:type="dcterms:W3CDTF">2017-09-06T20:27:00Z</dcterms:created>
  <dcterms:modified xsi:type="dcterms:W3CDTF">2017-09-06T20:27:00Z</dcterms:modified>
</cp:coreProperties>
</file>