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1B58B3"/>
          <w:sz w:val="24"/>
          <w:szCs w:val="24"/>
          <w:shd w:val="clear" w:color="auto" w:fill="FFFFFF"/>
          <w:lang w:eastAsia="pt-BR"/>
        </w:rPr>
        <w:t>ENTEROBACTÉRIAS</w:t>
      </w:r>
      <w:r w:rsidRPr="00A217DE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br/>
      </w:r>
      <w:r w:rsidRPr="00A217DE">
        <w:rPr>
          <w:rFonts w:ascii="Tahoma" w:eastAsia="Times New Roman" w:hAnsi="Tahoma" w:cs="Tahoma"/>
          <w:color w:val="000000"/>
          <w:sz w:val="17"/>
          <w:szCs w:val="17"/>
          <w:lang w:eastAsia="pt-BR"/>
        </w:rPr>
        <w:br/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ou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enterobacteríáceas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são uma família de bacilos Gram-negativos, com muitas propriedades em comum. Embora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possam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ser encontradas amplamente na natureza, a maioria habita os intestinos do homem e dos animais, seja como membros da microbiota normal ou como agentes de infecção.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 diferenciação dos gêneros e espécies é realizada por meio de uma série de provas bioquímicas. Algumas espécies, em um mesmo gênero, são muito semelhantes, sendo necessário grande número de provas para diferencia-las. Entretanto, este problema não cria dificuldades de ordem prática, uma vez que a diferenciação entre as espécies é dispensável, sob o ponto de vista médico, na maioria das vezes.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Algumas espécies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são divididas em tipos sorológicos, ou sorotipos, tomando-se por base a especificidade imunológica dos chamados antígenos O, K e H. Embora praticamente todas as espécies tenham sido investigadas quanto aos sorotipos, somente 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E. </w:t>
      </w:r>
      <w:proofErr w:type="gram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coli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 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Y. </w:t>
      </w:r>
      <w:proofErr w:type="spellStart"/>
      <w:proofErr w:type="gram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enterocolitica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são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sorotipadas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em rotina. Na maioria das vezes,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sorotipagem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tem finalidade epidemiológica, mas com relação 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E.coli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 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Y. </w:t>
      </w:r>
      <w:proofErr w:type="spellStart"/>
      <w:proofErr w:type="gram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enterocolitica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ela se faz também necessárias para caracterizar os sorotipos 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enteropatogênicos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 Estas espécies abrangem sorotipos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enteropatogênicos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 e não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enteropatogênicos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que não podem ser diferenciados somente por provas bioquímicas.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O diagnóstico das infecções por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normalmente realizado através do isolamento e identificação. Para o diagnóstico de algumas doenças como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por exemplo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febre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tifóide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recorre-se também à pesquisa de anticorpos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anti-O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anti-H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identificação de uma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normalmente feita por meio de provas bioquímicas, seguidas ou não de provas sorológicas. Em se tratando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enteropatogênicas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as provas bioquímicas são sempre acompanhadas de provas sorológicas, seja para confirmar a identificação bioquímica ou para diferenciar os sorogrupos e sorotipos. Quando a infecção é causada por uma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não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enteropatogênica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sua identificação é feita apenas por meio de provas bioquímicas, exceto quando se isola  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salmonellas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tíficas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paratíficas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maioria das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normalmente sensível às ampicilinas,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cefalosporinas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aminoglicosídeos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tetracilinas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cloranfenol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cotrimoxazol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ao ácido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naxilídico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 A principal forma de resistência das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mediada por fatores R, com exceção da resistência ao ácido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nalidíxico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que é determinada por mutação. Aparentemente, os fatores R não transportam genes de resistência para este antimicrobiano. A resistência adquirida pelas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geralmente múltipla, isto é, torna a bactéria simultaneamente resistente a vários antimicrobianos.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Atualmente, 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são os germes mais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freqüentemente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isolados de processos infecciosos, representando em torno de 70 a 80%  das amostras de germes gram-negativos isolados em rotina de laboratório.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freqüência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dos diferentes gêneros e espécies é fortemente influenciada pelo local onde a infecção foi adquirida, isto é, se na comunidade  ou no hospital.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Quanto às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patogênicas, algumas são adquiridas predominantemente na comunidade e outras em hospitais.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 xml:space="preserve">Principais gêneros da família 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Enterobacteriaceas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: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Escherichia,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Edwardsiella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Citrobacter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Klebsiella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Enterobacter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Hafnia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Serratia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Morganella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Providencia,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</w:t>
      </w:r>
    </w:p>
    <w:p w:rsidR="00A217DE" w:rsidRPr="00A217DE" w:rsidRDefault="00A217DE" w:rsidP="00A21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Erwinia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pt-BR"/>
        </w:rPr>
        <w:lastRenderedPageBreak/>
        <w:t xml:space="preserve">Propriedades comuns dos grupos das 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pt-BR"/>
        </w:rPr>
        <w:t>enterobactérias</w:t>
      </w:r>
      <w:proofErr w:type="spell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 maioria dos membros do grupo entérico pode utilizar um grande número de compostos orgânicos simples como substratos para o metabolismo respiratório: ácidos orgânicos, aminoácidos, carboidratos.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Sob condições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aérobicas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todas as bactérias deste grupo crescem em um meio bacteriológico complexo convencional, sendo que os constituintes nitrogenados fornecem substratos oxidáveis.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Sob condições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anaeróbias, entretanto, o crescimento bacteriano é dependente da presença de um carboidrato fermentável: alguns monossacarídeos, dissacarídeos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poliálcoois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são fermentados por todos os membros do grupo entérico.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utilização é menos comum, entretanto, a pectina é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hidrolizada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por alguns patógenos de plantas (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Erwinia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), e a quitina e o ácido algínico por algumas espécies marinhas.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 maioria não apresenta requerimento de fatores de crescimento (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Escherichia,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Enterobacter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Serratia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a maioria das espécies de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).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 O Metabolismo Fermentativo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fermentação de carboidratos por bactérias entéricas ocorre através da via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Embden-Meyerhof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Os produtos variam qualitativa e quantitativamente. Estas fermentações apresentam uma característica bioquímica singular, que não é encontrada em outras fermentações bacterianas: um modo especial de clivar o ácido pirúvico para produzir ácido fórmico: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CH3COCOO + </w:t>
      </w: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CoA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---- CH3COCoA + HCOO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O ácido fórmico é, portanto, frequentemente o produto final nos processos fermentativos. Mas nem sempre este ácido é acumulado, pois algumas bactérias entéricas possuem o sistema enzimático do ácido fórmico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hidrogenio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liase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(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formiase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), que oxida o ácido fórmico a C02 e H2: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HC00- ---- CO2 + H2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fermentação de açúcares mais comum no grupo entérico é a fermentação ácido-mista, que produz principalmente ácido lático, ácido acético, ácido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succínico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ácido fórmico (ou CO2 e H2), e etanol.  Esta fermentação é característica dos gêneros 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Escherichia,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Photobacterium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Vibrio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 em algumas espécies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Aeromonas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As taxas dos produtos finais podem variar consideravelmente, de espécie a espécie; e dentro de uma única espécie desenvolvida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sob condições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ambientais diferentes. Esta variabilidade reflete o fato de que o produto final obtido do ácido pirúvico passa através de vias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metabólicas independente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Em algumas bactérias entéricas, a fermentação de açúcares resulta em um produto final adicional: 2,3-butanodiol, que é formado de ácido pirúvico por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uma outra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via metabólica independente.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fermentação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butanediol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característica dos gêneros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Enterobacter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Serratia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a maioria das espécies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Erwinia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e algumas espécies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Aeromonas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Photobacterium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formação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butanodiol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acompanhada pelo aumento da formação de etanol, assim a formação do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butanodiol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a partir da glicose resulta na geração de poder redutor: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C6H12O6 ----- CH3CHOHCHOHCH3 + 2CO2 + 2H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 xml:space="preserve">Fermentação 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butanodiol</w:t>
      </w:r>
      <w:proofErr w:type="spell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Algumas bactérias que realizam a fermentação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butanediol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produzem uma mistura de produtos finais que inclui quantidades substanciais de compostos neutros (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butanediol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etanol), bem como ácidos orgânicos.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Por convenção, a fermentação é denominada do tipo ácido-mista se o ácido produzido é suficiente para reduzir o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pH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de um meio específico para valores iguais ou menores que 4.5.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fermentação é designada como do tipo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butanodiol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se o ácido produzido for insuficiente para reduzir o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pH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 valores menores que 4.5, e se grandes quantidades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butanodiol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for produzido.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formação de gás como um resultado da fermentação de açúcares é uma característica de valor diferencial no grupo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entérico ,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que se dividem em formadores de gás como os gêneros Escherichia, e os que fermentam açúcares sem produzir gás como os gêneros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typhi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Outra característica de considerável importância para diagnóstico de bactérias do grupo entérico é a capacidade para fermentar o dissacarídeo lactose, que depende da síntese das enzimas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galactosideo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permease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b-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galactosidase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As linhagens que não possuem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permease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mas, sintetizam b-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galactosidase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não podem utilizar a lactose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à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uma taxa suficiente para produzir uma fermentação vigorosa e normalmente devem ser classificadas como não fermentadores deste açúcar.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lastRenderedPageBreak/>
        <w:t xml:space="preserve">A fermentação da lactose é característica da Escherichia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Enterobacter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é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ausente nos gêneros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e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Escherichia coli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As Escherichia coli, raramente causa infecção </w:t>
      </w: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extra-intestinal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 Estas são causadas por Escherichia coli encontradas normalmente nos intestinos e que podem se localizar em qualquer órgão ou tecido do corpo humano. Entretanto, três grupos de infecções são mais frequentes: infecções urinárias, meningite do recém-nascido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bacteremia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Escherichia coli é a causa mais comum de infecção urinária, sendo responsável por 90% ou mais, das infecções adquiridas na comunidade. A suscetibilidade à infecção  urinária é variável, podendo haver um fator genético ligado a ela. Em crianças, a infecção está frequentemente associada com anormalidades do trato urinário. A suscetibilidade é maior nas mulheres de 20 e 40 anos de idade. Uma hipótese para explicar tal fato estabelece que algumas mulheres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apresenta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um número maior de receptores na superfície da mucosa, aos quais a bactéria adere. Outra possibilidade seria de que as mulheres menos suscetíveis apresentam glicoproteínas da superfície da bexiga, que exercem  um efeito de proteção recobrindo os receptores de carboidrato e impedindo, assim, a adesão bacteriana. O uso de diafragmas e de espermicidas aumenta o risco de infecção. Em pacientes hospitalizados que apresentam comprometimento do trato urinário, sua prevalência é ligeiramente menor em relação às outras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infecção urinária geralmente se dá pela via ascendente, isto é, a Escherichia coli presente nas fezes coloniza a uretra (uretrite) e bexiga (cistite). O sintoma comum de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tal infecções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a sensação de queimação durante o ato de urinar. Na maioria dos casos, os rins tornam-se infectados (pielonefrite), os sintomas seriam dor e febre.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Um pré-requisito para ocorrer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infecção é a adesão bacteriana; caso contrário, ela pode ser eliminada da bexiga através do fluxo urinário.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Quanto às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bacteremias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vários pesquisas demonstraram que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E.coli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responsável por aproximadamente, 40 a 50% das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bacteremias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causadas por germes Gram-negativas. As fontes mais comuns de infecções são os tratos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urinários e digestivo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catéteres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intravenosos, aparelhos respiratórios e pele.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O diagnóstico das infecções </w:t>
      </w: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extra-intestinais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feito pelo isolamento e posterior identificação bioquímica da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E.coli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Gastroenterite: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De acordo com os fatores de virulência e a patogenia são classificadas  em: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EIEC, EHEC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 xml:space="preserve">EPEC, ETEC, </w:t>
      </w:r>
      <w:proofErr w:type="spellStart"/>
      <w:proofErr w:type="gram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EaggEC</w:t>
      </w:r>
      <w:proofErr w:type="spellEnd"/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1.    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EIEC (E. coli </w:t>
      </w:r>
      <w:proofErr w:type="spellStart"/>
      <w:r w:rsidRPr="00A217D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shd w:val="clear" w:color="auto" w:fill="FFFFFF"/>
          <w:lang w:eastAsia="pt-BR"/>
        </w:rPr>
        <w:t>enteroinvasora</w:t>
      </w:r>
      <w:proofErr w:type="spellEnd"/>
      <w:proofErr w:type="gramStart"/>
      <w:r w:rsidRPr="00A217D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shd w:val="clear" w:color="auto" w:fill="FFFFFF"/>
          <w:lang w:eastAsia="pt-BR"/>
        </w:rPr>
        <w:t>)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—  comum em crianças com + de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2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anos de idade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—  reservatório: homem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—  transmissão: alimentos e águas contaminadas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—  período de incubação: 8 a 24 horas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—  sintomas: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diarréia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febre, calafrios e dores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abdominais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    —    virulência: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invasividade</w:t>
      </w:r>
      <w:proofErr w:type="spell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EHEC (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E.coli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enterohemorrágica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-   colite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hemorráuica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: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diarréia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sanguinolenta não febril síndrome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urêmica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hemolitica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(HUS): insuficiência renal em crianças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-           sorotipo mais comum: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0157: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H7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-          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virulência: produção de uma ou duas citotoxinas semelhantes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Shiga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toxin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(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Shiga-like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toxin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     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SLT I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ou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II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ou 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Verotoxina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-          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aderência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(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gen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eae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semelhante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</w:t>
      </w:r>
      <w:proofErr w:type="gram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EPEC)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-           transmissão: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animais ?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homem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(alimentos mal cozidos - hambúrguer)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- Terapia e profilaxia: não estabelecido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      - uso de antibióticos aumenta a probabilidade de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HUS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?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      - Reidratação simples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EPEC (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E.coli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enteropatogênica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 xml:space="preserve"> clássica)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   reservatório: homem (carreadores assintomáticos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)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   transmissão: contato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pessoal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   associada a surtos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diarréia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em neonatos (0 a 6 meses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)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-  virulência: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gen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eaf</w:t>
      </w:r>
      <w:proofErr w:type="spellEnd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: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codifica a produção de uma proteína mediadora de aderência localizada nas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cél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intestinais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lastRenderedPageBreak/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gen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eae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(semelhante a EHEC)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-terapia e profilaxia: </w:t>
      </w: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auto-limitada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sem necessidade do emprego de antibióticos.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                               Reidratação oral (solução sal-açúcar)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                                      Vacinas: em desenvolvimento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        ETEC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(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u w:val="single"/>
          <w:shd w:val="clear" w:color="auto" w:fill="FFFFFF"/>
          <w:lang w:eastAsia="pt-BR"/>
        </w:rPr>
        <w:t>E.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coli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enterotoxigênica</w:t>
      </w:r>
      <w:proofErr w:type="spellEnd"/>
      <w:proofErr w:type="gramStart"/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)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- Reservatório: homem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- sintomas: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diarréia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aquosa, desidratação,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vômitos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- período de incubação: 8 a 44 horas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- virulência: toxina LT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4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?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inativada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 60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vertAlign w:val="superscript"/>
          <w:lang w:eastAsia="pt-BR"/>
        </w:rPr>
        <w:t>0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C/30 min; imunogênica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                           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toxina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ST 4 ?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termo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estável; não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imunogêniea</w:t>
      </w:r>
      <w:proofErr w:type="spell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fimbrias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? CFA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1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CFA II (fatores de colonização)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            .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tratamento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: semelhante a EPEC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pt-BR"/>
        </w:rPr>
        <w:t>SALMONELLA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classificação da Salmonela sofreu várias modificações nos últimos anos e ainda não estão totalmente definidas. A classificação atual, que é baseada em características bioquímicas, divide o gênero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em duas espécies: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enterica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bongori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Salmonela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paratífica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(A, B e C) causa uma infecção bastante semelhante à febre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tifóide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De um modo geral, os demais sorotipos de 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S.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enterides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causam, no adulto normal, apenas uma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enterocolite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que evolui sem complicações e desaparecem dentro de uma semana. Como estas salmonelas são geralmente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veículadas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por alimentos, a infecção é também denominada intoxicação alimentar. Entretanto, se o hospedeiro é uma criança no primeiro ano de vida particularmente recém-nascido, ou é portador de certos tipos de patologias, as infecções causadas por estas salmonelas podem evoluir de maneira diferente a ser bastante grave. Nas crianças as salmonelas frequentemente invade a circulação provocando infecção em outros  órgãos.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Após a recuperação de uma infecção por salmonelas, alguns pacientes permanecem assintomáticos, eliminando as salmonelas por semanas, meses ou anos. Estes portadores contribuem para a disseminação das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principalmente quando se trata de manipuladores de alimentos, e, nestes casos o diagnóstico deve ser monitorado por cultura de fezes periódica. Nos portadores crônicos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typhi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a bactéria persiste na vesícula biliar, sendo eliminada continuamente através das fezes. Estes pacientes geralmente apresentam níveis elevados de anticorpos contra o antígeno Vi.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As infecções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tem início na mucosa intestinal. Quando há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enterocolite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sem vazão da corrente sanguínea, as salmonelas atravessam a camada epitelial em um processo conhecido como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trasncitose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indo proliferar na lâmina própria da mucosa. Nas infecções sistêmicas, a bactéria é conduzida à corrente sanguínea por via linfática. As salmonelas são bactérias intracelulares facultativas.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O diagnóstico das infecções por salmonela é realizado pelo isolamento e identificação da bactéria. O material clínico a ser examinado depende do local da infecção, isto é, fezes nas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enterocolites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sangue nas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septissemias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licor nas meninges, e assim por diante. No diagnóstico das infecções intestinais, é importante realizar o enriquecimento das fezes e utilizar, para a cultura, o ágar verde brilhante, além do SS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McConkey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Outros meios seletivos, como o ágar  Xilose-Lisina-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Desoxicolato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Hektoen</w:t>
      </w:r>
      <w:proofErr w:type="spellEnd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podem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ser usados na rotina. Na ocorrência de surtos de febre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tifóide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indica-se utilização do meio de Wilson Blair, que é ideal para o isolamento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Typhi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A identificação da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é realizada por meio de provas bioquímicas e sorológicas. A identificação sorológica, dos diferentes sorotipos 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, somente pode ser feita em laboratórios de referência. Entretanto, seria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 útil que os laboratórios em geral e, particularmente, os hospitais dispusessem dos </w:t>
      </w: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anti-soros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para identificar os sorotipos de maior importância médica: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Typhi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Paratyphi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(A,B e C) , agentes das febres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tifóide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paratifóides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Choleraesuis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,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que frequentemente causa septicemia 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Typhimurium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,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que é o sorotipo mais frequente nas infecções intestinais. Em conexão com isto, é importante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assinalarque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em determinada região, a grande maioria das infecções é causada por um pequeno número de sorotipos de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lastRenderedPageBreak/>
        <w:t>As infecções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são geralmente autolimitadas e a administração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antiióticos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no tratamento das gastroenterites nem sempre acelera a recuperação clínica, sendo, responsável pelo prolongamento do período de excreção do agente, além de determinar a emergência de amostras multirresistentes. Por outro lado, os antibióticos são recomendados para 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salmoneloses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com complicações sistêmica e nos casos de febre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tifóide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tanto na fase aguda da doença como na fase de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portador .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 ampicilina, 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cloranfenicol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a associação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sulfametoxazol-trimetoprima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são as drogas de eleição para o tratamento destes casos.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 prevenção das gastroenterites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tem por base a manipulação e preparo adequados de alimentos, principalmente ovos e carnes de aves. Para o controle da febre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tifóide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tem se tentado o desenvolvimento de vacinas. Vacinas injetáveis e orais têm sido testadas, produzidas a partir de mutantes atenuados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Typhi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ou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Salmonella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Typhimurium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,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embora muitas vezes se desconheça a natureza da mutação nessas amostras.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Shigella</w:t>
      </w:r>
      <w:proofErr w:type="spell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Gênero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é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constuído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da quatro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espécies, designadas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dysenteriae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flexneri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boydii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sonnei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A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doença humana causada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é chamada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shigelose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ou disenteria bacilar, sendo todos os sorotipos patogênicos. A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shigelose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localiza-se  no íleo terminal e cólon, caracterizando-se por invasão e destruição da camada epitelial da mucosa, com intensa reação inflamatória. Em consequência disso, o paciente geralmente apresenta leucócitos, muco e sangue nas fezes. Raramente 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invade a circulação do paciente.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Diagnóstico da infecção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das fezes do paciente em meios de cultura, com posterior identificação das colônias suspeitas por meios de provas bioquímicas e sorológicas. O emprego do teste de ELISA, que detecta antígenos codificados pelo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plasmídio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de virulência, ou a  utilização de sondas genéticas ou de PCR na identificação da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isolada ou dos seus genes de virulência, também representam excelentes recursos de diagnóstico. Mais recentemente, foi demonstrado que o método de PCR pode ser usado diretamente nas fezes, para a detecção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 maioria dos autores  recomenda o uso de antibióticos nas infecções de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.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De modo geral, estes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microorganismos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são sensíveis aos antibióticos e às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quinolonas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mas bastante resistentes aos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sulfonamídicos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A realização do antibiograma com 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isolada é uma conduta recomendável, pois não são raras as infecções causadas por amostras resistentes a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um outro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antibiótico ou portadores  de resistência múltipla.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 frequência das infecções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aumenta com a idade da criança. Em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bnosso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meio a prevalência desta bactéria é de 8 a 10% em crianças com menos de um ano de idade, e de 15 a 18% em crianças com mais de dois anos. A infecção é adquirida pela ingestão de água contaminada ou de alimentos preparados com água contaminada. Entretanto, está bem demonstrado que 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shigelas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podem ser transmitidas por contato pessoal.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Alguns estudos sugerem que 100 bactérias são suficientes para causar a doença. Aparentemente, esta pequena dose infectante é dependente da maior resistência que 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apresenta ao suco gástrico. A profilaxia das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shigeloses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repousa em medidas higiênicas que melhorem as condições sanitárias das comunidades. 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shigelas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mais frequentemente isoladas no Brasil são as espécies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flexneri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Shigella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sonnei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.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Várias vacinas já foram avaliadas, com resultados insatisfatórios.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YERSINIA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enterocolitica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pode causar diferentes tipos de infecções no homem, sendo a infecção no homem, sendo a infecção intestinal a mais importante.  As infecções intestinais causadas por estas bactérias são adquiridas pela via oral-fecal, por ingestão de água e alimentos, como leite e carne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suína contaminados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Os sintomas da infecção intestinal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enterocolitica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variam brandos e severos, e são caracterizados  por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diarréia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febre  e dor abdominal. Alguns pacientes apresentam quadro clínico de apendicite aguda, devido à intensa inflamação do íleo terminal e comprometimento dos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glânglios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mesentéricos. A disseminação sistêmica da infecção ocorre raramente,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 ,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o paciente geralmente é portador de  doenças debilitantes.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O diagnóstico da infecção intestinal por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enterocolitica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é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bfeito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pela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coprocultura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das fezes em meios de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MacConkey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SS, a 37º</w:t>
      </w:r>
      <w:proofErr w:type="gram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C ,</w:t>
      </w:r>
      <w:proofErr w:type="gram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com a posterior identificação bioquímica e sorológica da bactéria.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As infecções intestinais por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enterocolitica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não exigem tratamento com antimicrobianos, pois são geralmente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auto limitadas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e, também, não há evidências de que a administração destas drogas diminui a duração dos sintomas. Entretanto, nas infecções extra intestinais ou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sistêmicas ,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antibiocoterapia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indicada. Vários antibióticos podem ser utilizados, uma vez que a bactéria 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lastRenderedPageBreak/>
        <w:t xml:space="preserve">praticamente não apresenta resistência, a não ser aos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antibiöticos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betalactâmicos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aos quais é naturalmente resistente.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Para a prevenção eficiente da infecção intestinal por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enterocolitica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Yersinia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pseudotuberculosis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é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muito mais importante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utilização de água tratada, tanto para consumo quanto para a lavagem e preparo dos alimentos. Além disso, também são necessários cuidados de higiene pessoal, principalmente quanto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lavagem das mãos, para evitar a contaminação dos alimentos com fezes. Aos manipuladores manuais de alimentos é indicado o uso de luvas.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EDWARDSIELLA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Edwardsiella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tarda é uma bactéria raramente isolada do homem. Algumas evidências clínicas e laboratoriais obtidas recentemente sugerem que esta bactéria pode causar infecção intestinal no homem, devido à invasão da mucosa. Uma destas evidências é sua capacidade de invadir células </w:t>
      </w: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HeLa</w:t>
      </w:r>
      <w:proofErr w:type="spellEnd"/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também a presença de sangue, muco e leucócitos nas fezes dos indivíduos infectados por esta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bactéria.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Edwardsiella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tarda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também tem sido encontrada em infecções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extra-intestinais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CITROBACTER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Embora as espécies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Citrobacter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sejam encontradas com relativas frequências nos intestinos do homem, raramente são isoladas de processos infecciosos. As infecções causadas por este germe incluem pielonefrites, meningites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do recém-nascidos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abcesso cerebral, endocardite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bacteremias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Estas infecções tendem a predominar em indivíduos com defesas comprometidas e, por esta razão, ocorrem basicamente em hospitais.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KLEBSIELLA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Klebsiella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pneumoniae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encontrada normalmente nos intestinos. É um dos bacilos Gram-negativos que causam pneumonia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lobar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 Os alcoólatras são particularmente sensíveis à infecção. A pneumonia geralmente se  localiza nos lobos superiores, acompanhando-se de necrose que pode levar a formação de cavidades. Não raramente, a bactéria é também encontrada em associação com infecções do aparelho urinário, endocardites e vários tipos de infecções pós-cirúrgicas. Algumas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estastísticas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demonstraram que 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Klebsiella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pneumoniae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pode ser responsável por 10% das infecções hospitalares. Frequentemente a amostra hospitalar é resistente à maioria dos antimicrobianos. A associação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Klebsiellla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pneumoniae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com 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espru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tropical e outras afecções digestivas ainda não pode ser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considerado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como verdadeira.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Klebsiella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rhinoschleromatis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é o agente do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escleroma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um processo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granulomatoso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que atinge as mucosas do nariz, seios paranasais, faringe, laringe, ouvido médio e até os brônquios.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ENTEROBACTER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As infecções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Enterobacter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raramente são agentes primários de infecção.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Freqüentemente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entretanto, são isoladas, de diferentes espécimes clínicos, de pacientes hospitalizados. O papel desempenhado pela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Entrobacter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na gênese do processo infeccioso, deve ser avaliado clínica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bacteriológicamente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 Vários casos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bacteremia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decorrentes de aplicação endovenosa de líquidos contaminados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têm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sido descritos.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t-BR"/>
        </w:rPr>
        <w:t>HAFNIA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Hafnia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alvei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não é rara. Sua patogenicidade é semelhante à descrita para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Enterobacter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SERRATIA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Das três espécies,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Serratia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marcescens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a mais frequente, representando 95% das amostras de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Serratia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isoladas de espécimes clínicos.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Serratia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marcescens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é germe causador de infecção hospitalar e, provavelmente, devido, à sua múltipla resistência aos antibióticos, sua frequência tem aumentado nos últimos anos. As infecções causadas por ela podem se localizar em qualquer órgão.</w:t>
      </w:r>
    </w:p>
    <w:p w:rsidR="00A217DE" w:rsidRPr="00A217DE" w:rsidRDefault="00A217DE" w:rsidP="00A217D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PROTEUS, MORGANELLA E </w:t>
      </w:r>
      <w:proofErr w:type="gramStart"/>
      <w:r w:rsidRPr="00A217D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PROVIDENCIA</w:t>
      </w:r>
      <w:proofErr w:type="gramEnd"/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Na nova classificação das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o gênero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passou a incluir somente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mirabilis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vulgaris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. 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marganii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foi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tranformado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no gênero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Morganella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o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rettgeri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passou a integrar o gênero Providencia. As espécies dos três gêneros são encontradas regularmente nos intestinos do homem, sendo bem mais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fraquentes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mirabilis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Morganella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morganii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As infecções causadas por estas bactérias ocorrem principalmente no trato urinário, devendo ser notado que, enquanto 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o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mirabilis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ocorre em infecções adquiridas na 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lastRenderedPageBreak/>
        <w:t xml:space="preserve">comunidade, os outros estão quase sempre associados à infecção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hospitalar .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Como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mirabilis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vulgaris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Morganella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morganii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Providencia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rettgeri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hidrolisam a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uréia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formando amônia, a urina de pacientes cronicamente infectados por esta bactéria pode se tornar muito alcalina, o que favorece a formação de cálculos, devido à diminuição da solubilidade do cálcio.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É importante salientar que uma característica comum às bactérias dos gêneros</w:t>
      </w: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Proteus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, </w:t>
      </w:r>
      <w:proofErr w:type="spellStart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Morganella</w:t>
      </w:r>
      <w:proofErr w:type="spellEnd"/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 xml:space="preserve"> e Providencia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 é a resistência natural às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polimixinas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, um grupo de </w:t>
      </w:r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antibióticos bastante ativo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contra a s demais </w:t>
      </w:r>
      <w:proofErr w:type="spell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enterobactérias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e outros germes Gram-negativos.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REFERÊNCIAS:</w:t>
      </w:r>
    </w:p>
    <w:p w:rsidR="00A217DE" w:rsidRPr="00A217DE" w:rsidRDefault="00A217DE" w:rsidP="00A217D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Trabulsi,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L.R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 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u w:val="single"/>
          <w:shd w:val="clear" w:color="auto" w:fill="FFFFFF"/>
          <w:lang w:eastAsia="pt-BR"/>
        </w:rPr>
        <w:t>Microbiologia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1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vertAlign w:val="superscript"/>
          <w:lang w:eastAsia="pt-BR"/>
        </w:rPr>
        <w:t>o 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ed.  Rio de Janeiro. São Paulo.  Livraria Atheneu              1986; p132-138.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proofErr w:type="spellStart"/>
      <w:proofErr w:type="gramStart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Trabulsi,</w:t>
      </w:r>
      <w:proofErr w:type="gram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L.R</w:t>
      </w:r>
      <w:proofErr w:type="spellEnd"/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 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u w:val="single"/>
          <w:shd w:val="clear" w:color="auto" w:fill="FFFFFF"/>
          <w:lang w:eastAsia="pt-BR"/>
        </w:rPr>
        <w:t>Microbiologia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. 3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vertAlign w:val="superscript"/>
          <w:lang w:eastAsia="pt-BR"/>
        </w:rPr>
        <w:t>o </w:t>
      </w: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ed. Rio de Janeiro. São Paulo. Livraria Atheneu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1999; p314-342.</w:t>
      </w:r>
    </w:p>
    <w:p w:rsidR="00A217DE" w:rsidRPr="00A217DE" w:rsidRDefault="00A217DE" w:rsidP="00A217D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</w:pPr>
      <w:r w:rsidRPr="00A217D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A053D4" w:rsidRDefault="00A217DE">
      <w:bookmarkStart w:id="0" w:name="_GoBack"/>
      <w:bookmarkEnd w:id="0"/>
    </w:p>
    <w:sectPr w:rsidR="00A05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7C0"/>
    <w:multiLevelType w:val="multilevel"/>
    <w:tmpl w:val="01E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F0882"/>
    <w:multiLevelType w:val="multilevel"/>
    <w:tmpl w:val="3F30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E"/>
    <w:rsid w:val="00081B87"/>
    <w:rsid w:val="00A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1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21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217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A217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217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217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217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217DE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217DE"/>
    <w:rPr>
      <w:i/>
      <w:iCs/>
    </w:rPr>
  </w:style>
  <w:style w:type="character" w:styleId="Forte">
    <w:name w:val="Strong"/>
    <w:basedOn w:val="Fontepargpadro"/>
    <w:uiPriority w:val="22"/>
    <w:qFormat/>
    <w:rsid w:val="00A21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1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21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217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A217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217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217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217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217DE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217DE"/>
    <w:rPr>
      <w:i/>
      <w:iCs/>
    </w:rPr>
  </w:style>
  <w:style w:type="character" w:styleId="Forte">
    <w:name w:val="Strong"/>
    <w:basedOn w:val="Fontepargpadro"/>
    <w:uiPriority w:val="22"/>
    <w:qFormat/>
    <w:rsid w:val="00A2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3922</Words>
  <Characters>21184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2017-09-15T19:05:00Z</dcterms:created>
  <dcterms:modified xsi:type="dcterms:W3CDTF">2017-09-15T19:06:00Z</dcterms:modified>
</cp:coreProperties>
</file>