
<file path=[Content_Types].xml><?xml version="1.0" encoding="utf-8"?>
<Types xmlns="http://schemas.openxmlformats.org/package/2006/content-types">
  <Override PartName="/word/media/image39.emf" ContentType="image/x-emf"/>
  <Override PartName="/word/media/image38.emf" ContentType="image/x-e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autoSpaceDE w:val="false"/>
      </w:pPr>
      <w:r>
        <w:rPr>
          <w:sz w:val="32"/>
          <w:b/>
          <w:szCs w:val="32"/>
          <w:bCs/>
          <w:rFonts w:ascii="Calibri" w:cs="Arial" w:eastAsia="Arial" w:hAnsi="Calibri"/>
        </w:rPr>
        <w:t>Blood Transfusion and Infection After Cardiac Surgery</w:t>
      </w:r>
    </w:p>
    <w:p>
      <w:pPr>
        <w:pStyle w:val="style0"/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 xml:space="preserve">Horvath KA, et al. </w:t>
      </w:r>
      <w:r>
        <w:rPr>
          <w:sz w:val="20"/>
          <w:i/>
          <w:b w:val="off"/>
          <w:szCs w:val="20"/>
          <w:iCs/>
          <w:bCs w:val="off"/>
          <w:rFonts w:ascii="Calibri" w:cs="Times New Roman" w:eastAsia="Times New Roman" w:hAnsi="Calibri"/>
        </w:rPr>
        <w:t>Ann Thorac Surg</w:t>
      </w:r>
      <w:r>
        <w:rPr>
          <w:sz w:val="20"/>
          <w:b w:val="off"/>
          <w:szCs w:val="20"/>
          <w:bCs w:val="off"/>
          <w:rFonts w:ascii="Calibri" w:cs="Times New Roman" w:eastAsia="Times New Roman" w:hAnsi="Calibri"/>
        </w:rPr>
        <w:t>. 2013 June ; 95(6): 2194–2201. doi:10.1016/j.athoracsur.2012.11.078</w:t>
      </w:r>
    </w:p>
    <w:p>
      <w:pPr>
        <w:pStyle w:val="style0"/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0"/>
          <w:b w:val="off"/>
          <w:szCs w:val="20"/>
          <w:bCs w:val="off"/>
          <w:rFonts w:ascii="Calibri" w:cs="Times New Roman" w:eastAsia="Times New Roman" w:hAnsi="Calibri"/>
        </w:rPr>
        <w:t>Aluna: Paula Albuquerque</w:t>
      </w:r>
    </w:p>
    <w:p>
      <w:pPr>
        <w:pStyle w:val="style0"/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</w:r>
    </w:p>
    <w:p>
      <w:pPr>
        <w:pStyle w:val="style21"/>
      </w:pPr>
      <w:r>
        <w:rPr>
          <w:rFonts w:ascii="Calibri" w:hAnsi="Calibri"/>
        </w:rPr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  <w:t xml:space="preserve">Introdução: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A cirurgia cardíaca é um dos principais procedimentos que utiliza derivados de sangue (cerca de metade dos pacientes que se submetem a este tipo de cirurgia recebem concentrados). Esta  prescrição deve-se  a diversas razões (como, por exemplo, melhorar o transporte de oxigênio), entretanto possui também alguns risco. O </w:t>
      </w:r>
      <w:r>
        <w:rPr>
          <w:sz w:val="24"/>
          <w:i/>
          <w:b w:val="off"/>
          <w:szCs w:val="24"/>
          <w:iCs/>
          <w:bCs w:val="off"/>
          <w:rFonts w:ascii="Calibri" w:cs="Times New Roman" w:eastAsia="Times New Roman" w:hAnsi="Calibri"/>
        </w:rPr>
        <w:t>Cardiothoracic Surgical Trials Network</w:t>
      </w:r>
      <w:r>
        <w:rPr>
          <w:sz w:val="24"/>
          <w:b w:val="off"/>
          <w:szCs w:val="24"/>
          <w:bCs w:val="off"/>
          <w:rFonts w:ascii="Calibri" w:cs="Arial" w:eastAsia="Arial" w:hAnsi="Calibri"/>
        </w:rPr>
        <w:t xml:space="preserve"> (CTSN) realizou um estudo prospectivo multi-institucional observacional, com o objetivo de identificar práticas modificáveis, tais como a transfusão, associadas às infecções que ocorreram em até 65 dias após a cirurgia cardíaca.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Os principais objetivos deste estudo foram 1) investigar a associação da transfusão de hemácias e infecção pós-operatória (incluindo o tipo e microbiologia) e 2) identificar pacientes e fatores de risco operatório para infecção.</w:t>
      </w:r>
    </w:p>
    <w:p>
      <w:pPr>
        <w:pStyle w:val="style0"/>
        <w:jc w:val="both"/>
        <w:autoSpaceDE w:val="false"/>
      </w:pPr>
      <w:r>
        <w:rPr>
          <w:sz w:val="24"/>
          <w:szCs w:val="24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  <w:t>Pacientes e métodos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Este estudo avaliou pacientes adultos submetidos à cirurgia cardíaca em 10 centros dos Estados Unidos e Canadá. De Fevereiro a Setembro de 2010, 5.158 pacientes foram incluídos no estudo e seguidos durante 65 dias após a cirurgia, com duas avaliações (30 e 60 dias após a cirurgia). Pacientes com infecções sistêmicas ativas durante a inclusão foram excluídos do estudo.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A idade média dos pacientes era de 64 (± 13) anos e a hemoglobina pré-operatória de 13 (± 1,8) g/dL. As mulheres correspondiam a 1/3 do grupo estudado. Os procedimentos mais comuns foram cirurgia isolada de revascularização do miocárdio (31%) e cirurgia de válvula (30%).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O estudo avaliou as principais infecções: 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Infecção de sítio cirúrgico profundo, no local da incisão primária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Infecção de sítio cirúrgico profundo, no local da incisão secundária (exemplo, leito da safena, local de canulação)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Mediastinite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Miocardite ou pericardite infecciosa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Endocardite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Infecção de dispositivo cardíaco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Pneumonia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Empiema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 xml:space="preserve">Colite por </w:t>
      </w:r>
      <w:r>
        <w:rPr>
          <w:sz w:val="20"/>
          <w:i/>
          <w:b w:val="off"/>
          <w:szCs w:val="20"/>
          <w:iCs/>
          <w:bCs w:val="off"/>
          <w:rFonts w:ascii="Calibri" w:cs="Arial" w:eastAsia="Arial" w:hAnsi="Calibri"/>
        </w:rPr>
        <w:t xml:space="preserve">Clostridium difficile </w:t>
      </w:r>
    </w:p>
    <w:p>
      <w:pPr>
        <w:pStyle w:val="style0"/>
        <w:numPr>
          <w:ilvl w:val="0"/>
          <w:numId w:val="1"/>
        </w:numPr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  <w:t>Bacteremia</w:t>
      </w:r>
    </w:p>
    <w:p>
      <w:pPr>
        <w:pStyle w:val="style0"/>
        <w:jc w:val="both"/>
        <w:autoSpaceDE w:val="false"/>
      </w:pPr>
      <w:r>
        <w:rPr>
          <w:sz w:val="20"/>
          <w:b w:val="off"/>
          <w:szCs w:val="20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As variáveis categóricas foram resumidas por meio de frequências e porcentagens e as contínuas por médias e desvios padrão (ou medianas e intervalos interquartis, se as distribuições fossem distorcidas). O tempo da cirurgia até a infecção foi descrito usando curvas de Kaplan-Meier. Foi utilizada a regressão de Cox de riscos proporcionais para identificar a associação da utilização de produtos de sangue com risco de infecção após o ajuste para fatores de risco do paciente.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  <w:t>Resultados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Os pacientes tiveram 298 principais infecções, sendo as principais: pneumonia, colite por </w:t>
      </w:r>
      <w:r>
        <w:rPr>
          <w:sz w:val="24"/>
          <w:i/>
          <w:b w:val="off"/>
          <w:szCs w:val="24"/>
          <w:iCs/>
          <w:bCs w:val="off"/>
          <w:rFonts w:ascii="Calibri" w:cs="Arial" w:eastAsia="Arial" w:hAnsi="Calibri"/>
        </w:rPr>
        <w:t>C. difficile</w:t>
      </w:r>
      <w:r>
        <w:rPr>
          <w:sz w:val="24"/>
          <w:b w:val="off"/>
          <w:szCs w:val="24"/>
          <w:bCs w:val="off"/>
          <w:rFonts w:ascii="Calibri" w:cs="Arial" w:eastAsia="Arial" w:hAnsi="Calibri"/>
        </w:rPr>
        <w:t xml:space="preserve"> e bacteremia. Mais de 40% das infecções ocorreram após a alta hospitalar.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No geral, 2.481 (48%) pacientes receberam pelo menos uma unidade de concentrado de hemácias. Oito locais transfundiram uma média de 2 unidades por pacientes e os outros dois lugares uma média 3 unidades. Dos pacientes transfundidos, 27% recebeu apenas na sala de cirurgia, 38%  somente no pós-operatório e 35% (n = 1805) no intra e pós-operatório. Os maiores volumes de hemácias foram utilizados durante transplantes, na implantação de dispositivo de assistência ventricular esquerda (LVAD) e em procedimentos de aorta torácica. Plaquetas foram administradas a 31% de pacientes.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Houve uma associação dose dependente entre a quantidade de hemácias transfundidas e o  risco de infecção, com risco bruto crescente de 29%, em média, para cada unidade (Figura 2). Embora na análise univariada, a transfusão de plaquetas tenha sido associada a um maior risco de infecção, após ajuste para a quantidade de concentrados de hemácias transfundidos, ela tornou-se protetora (Figura 3).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drawing>
          <wp:inline distB="0" distL="0" distR="0" distT="0">
            <wp:extent cx="2127885" cy="18821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2305685" cy="18884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Além de características dos pacientes, como a doença pulmonar obstrutiva crônica, falência cardíaca e creatinina sérica pré-operatória elevada, outros fatores de risco relevantes para as principais infecções incluíam a longa duração da cirurgia e se os pacientes receberam transplante ou LVAD. Curiosamente, diabetes e índice de massa corporal não foram preditivos de infecção. A associação da transfusão  de hemácias com infecção foi particularmente forte para pneumonia e bacteremia.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  <w:t>Discussão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Este estudo revelou que a transfusão de hemácias, particularmente no pós-operatório, foi fortemente associada com infecções pós-operatórias (principalmente, pneumonia e bacteremia), de maneira quantidade dependente. A utilização de plaquetas pareceu ter um efeito protetor, especialmente para aqueles que recebem maiores quantidades de unidades de concentrados de hemácias.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Há muitos estudos de observação demonstrando uma relação entre transfusão e infecção pós-operatória. Esta conclusão não é, até mesmo, exclusiva para cirurgia cardíaca, como demonstrado pela meta-análise sobre trauma e pacientes de cirurgia geral eletiva, de Hill e cols.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Vários mecanismos têm sido propostos para explicar esta associação. O mais frequentemente citado é a modulação imune. Há alguma controvérsia se a modulação imune é mediada por leucócitos contidos no sangue transfundido, com redução demonstrada da função das células </w:t>
      </w:r>
      <w:r>
        <w:rPr>
          <w:sz w:val="24"/>
          <w:i/>
          <w:b w:val="off"/>
          <w:szCs w:val="24"/>
          <w:iCs/>
          <w:bCs w:val="off"/>
          <w:rFonts w:ascii="Calibri" w:cs="Arial" w:eastAsia="Arial" w:hAnsi="Calibri"/>
        </w:rPr>
        <w:t>natural killer</w:t>
      </w:r>
      <w:r>
        <w:rPr>
          <w:sz w:val="24"/>
          <w:b w:val="off"/>
          <w:szCs w:val="24"/>
          <w:bCs w:val="off"/>
          <w:rFonts w:ascii="Calibri" w:cs="Arial" w:eastAsia="Arial" w:hAnsi="Calibri"/>
        </w:rPr>
        <w:t>. A maioria dos estudos randomizados com transfusões empobrecidas de leucócitos são inconclusivos. Esta transfusão com sangue irradiado e leucorreduzido tornou-se uma prática rotineira em todo o mundo, atualmente. Por isso, este mecanismo não pode desempenhar um papel nas nossas observações.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A teoria mais recente refere-se ao ferro circulantes não ligado à transferrina, o qual promove a proliferação de bactérias patogênicas. O crescimento de </w:t>
      </w:r>
      <w:r>
        <w:rPr>
          <w:sz w:val="24"/>
          <w:i/>
          <w:b w:val="off"/>
          <w:szCs w:val="24"/>
          <w:iCs/>
          <w:bCs w:val="off"/>
          <w:rFonts w:ascii="Calibri" w:cs="Arial" w:eastAsia="Arial" w:hAnsi="Calibri"/>
        </w:rPr>
        <w:t>E. coli</w:t>
      </w:r>
      <w:r>
        <w:rPr>
          <w:sz w:val="24"/>
          <w:b w:val="off"/>
          <w:szCs w:val="24"/>
          <w:bCs w:val="off"/>
          <w:rFonts w:ascii="Calibri" w:cs="Arial" w:eastAsia="Arial" w:hAnsi="Calibri"/>
        </w:rPr>
        <w:t xml:space="preserve"> é reforçado quando exposto a amostras de soro de voluntários com elevados índices de ferro não ligado à transferrina.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A atenuação da relação transfusão de sangue e infecção foi observada após a administração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 xml:space="preserve">de plaquetas. Esta observação tem sido relatada por outros estudos.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  <w:t>Limitações do estudo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Este é um estudo observacional gerador de hipóteses, por isso as associações relatadas não podem ser consideradas causal.</w:t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</w:r>
    </w:p>
    <w:p>
      <w:pPr>
        <w:pStyle w:val="style0"/>
        <w:jc w:val="both"/>
        <w:autoSpaceDE w:val="false"/>
      </w:pPr>
      <w:r>
        <w:rPr>
          <w:sz w:val="24"/>
          <w:b/>
          <w:szCs w:val="24"/>
          <w:bCs/>
          <w:rFonts w:ascii="Calibri" w:cs="Arial" w:eastAsia="Arial" w:hAnsi="Calibri"/>
        </w:rPr>
        <w:t>Implicações clínicas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 xml:space="preserve">Todos os riscos e benefícios da transfusão devem ser ponderados contra os riscos de anemia, que por sua vez é associada com resultados adversos. 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Considerando a alta prevalência de terapia antiplaquetária pré-operatória, particularmente em doentes com coronariopatia arterial, os cirurgiões podem ter algum consolo na segurança relativa da administração de plaquetas.</w:t>
      </w:r>
    </w:p>
    <w:p>
      <w:pPr>
        <w:pStyle w:val="style0"/>
        <w:jc w:val="both"/>
        <w:autoSpaceDE w:val="false"/>
      </w:pPr>
      <w:r>
        <w:rPr>
          <w:sz w:val="24"/>
          <w:b w:val="off"/>
          <w:szCs w:val="24"/>
          <w:bCs w:val="off"/>
          <w:rFonts w:ascii="Calibri" w:cs="Arial" w:eastAsia="Arial" w:hAnsi="Calibri"/>
        </w:rPr>
        <w:tab/>
        <w:t>Existem várias  medidas que podem ser utilizadas para evitar a transfusão. Além disso, a atenção para hemostasia intraoperatória, o estabelecimento de protocolos para transfusão e reoperação por sangramento, uso de antifibrinolíticos e uma tolerância para anemia leve a moderada são meios razoáveis para reduzir a utilização desse recurso.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pt-BR"/>
    </w:rPr>
  </w:style>
  <w:style w:styleId="style15" w:type="character">
    <w:name w:val="Símbolos de numeração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Linha horizontal"/>
    <w:basedOn w:val="style0"/>
    <w:next w:val="style17"/>
    <w:pPr>
      <w:pBdr>
        <w:bottom w:color="808080" w:space="0" w:sz="2" w:val="double"/>
      </w:pBdr>
      <w:suppressLineNumbers/>
      <w:spacing w:after="283" w:before="0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8.emf"/><Relationship Id="rId3" Type="http://schemas.openxmlformats.org/officeDocument/2006/relationships/image" Target="media/image39.emf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BrOffice/3.3$Win32 LibreOffice_project/330m19$Build-301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2015-05-19T08:30:42.81Z</dcterms:created>
  <cp:revision>0</cp:revision>
</cp:coreProperties>
</file>