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A013" w14:textId="77777777" w:rsidR="00AE24A2" w:rsidRDefault="00AE24A2" w:rsidP="00AE24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1EA4E1F4" w14:textId="77777777" w:rsidR="00AE24A2" w:rsidRDefault="00AE24A2" w:rsidP="00AE24A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Trabalho de revisão</w:t>
      </w:r>
    </w:p>
    <w:p w14:paraId="367D1A71" w14:textId="77777777" w:rsidR="00AE24A2" w:rsidRDefault="00AE24A2" w:rsidP="00AE24A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8"/>
          <w:szCs w:val="28"/>
        </w:rPr>
      </w:pPr>
    </w:p>
    <w:p w14:paraId="786C41DB" w14:textId="77777777" w:rsidR="00AE24A2" w:rsidRDefault="00AE24A2" w:rsidP="00AE24A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1 – Dois alunos por grupo</w:t>
      </w:r>
    </w:p>
    <w:p w14:paraId="6C276278" w14:textId="77777777" w:rsidR="00AE24A2" w:rsidRDefault="00AE24A2" w:rsidP="00AE24A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2 – Comprovante de submissão do artigo para a revista na segunda semana de aula</w:t>
      </w:r>
    </w:p>
    <w:p w14:paraId="3DF995CC" w14:textId="77777777" w:rsidR="00AE24A2" w:rsidRDefault="00AE24A2" w:rsidP="00AE24A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3 – Datas:</w:t>
      </w:r>
    </w:p>
    <w:p w14:paraId="2AF484DC" w14:textId="77777777" w:rsidR="00AE24A2" w:rsidRDefault="00AE24A2" w:rsidP="00AE24A2">
      <w:pPr>
        <w:widowControl w:val="0"/>
        <w:autoSpaceDE w:val="0"/>
        <w:autoSpaceDN w:val="0"/>
        <w:adjustRightInd w:val="0"/>
        <w:ind w:left="2410" w:hanging="1843"/>
        <w:jc w:val="both"/>
        <w:rPr>
          <w:rFonts w:ascii="Helvetica" w:hAnsi="Helvetica" w:cs="Helvetica"/>
          <w:color w:val="1A1A1A"/>
          <w:sz w:val="28"/>
          <w:szCs w:val="28"/>
        </w:rPr>
      </w:pPr>
      <w:r w:rsidRPr="00AE24A2">
        <w:rPr>
          <w:rFonts w:ascii="Helvetica" w:hAnsi="Helvetica" w:cs="Helvetica"/>
          <w:b/>
          <w:color w:val="1A1A1A"/>
          <w:sz w:val="28"/>
          <w:szCs w:val="28"/>
        </w:rPr>
        <w:t xml:space="preserve">- 01 de </w:t>
      </w:r>
      <w:proofErr w:type="gramStart"/>
      <w:r w:rsidRPr="00AE24A2">
        <w:rPr>
          <w:rFonts w:ascii="Helvetica" w:hAnsi="Helvetica" w:cs="Helvetica"/>
          <w:b/>
          <w:color w:val="1A1A1A"/>
          <w:sz w:val="28"/>
          <w:szCs w:val="28"/>
        </w:rPr>
        <w:t>Abril</w:t>
      </w:r>
      <w:proofErr w:type="gramEnd"/>
      <w:r>
        <w:rPr>
          <w:rFonts w:ascii="Helvetica" w:hAnsi="Helvetica" w:cs="Helvetica"/>
          <w:color w:val="1A1A1A"/>
          <w:sz w:val="28"/>
          <w:szCs w:val="28"/>
        </w:rPr>
        <w:t xml:space="preserve"> </w:t>
      </w:r>
      <w:r>
        <w:rPr>
          <w:rFonts w:ascii="Helvetica" w:hAnsi="Helvetica" w:cs="Helvetica"/>
          <w:color w:val="1A1A1A"/>
          <w:sz w:val="28"/>
          <w:szCs w:val="28"/>
        </w:rPr>
        <w:tab/>
        <w:t xml:space="preserve">entrega da primeira versão no formato da revista escolhida para os e-mails – </w:t>
      </w:r>
      <w:r w:rsidRPr="00AE24A2">
        <w:rPr>
          <w:rFonts w:ascii="Helvetica" w:hAnsi="Helvetica" w:cs="Helvetica"/>
          <w:color w:val="1A1A1A"/>
          <w:sz w:val="28"/>
          <w:szCs w:val="28"/>
        </w:rPr>
        <w:t>pjchrist@usp.br</w:t>
      </w:r>
      <w:r>
        <w:rPr>
          <w:rFonts w:ascii="Helvetica" w:hAnsi="Helvetica" w:cs="Helvetica"/>
          <w:color w:val="1A1A1A"/>
          <w:sz w:val="28"/>
          <w:szCs w:val="28"/>
        </w:rPr>
        <w:t xml:space="preserve"> e </w:t>
      </w:r>
      <w:r w:rsidRPr="00AE24A2">
        <w:rPr>
          <w:rFonts w:ascii="Helvetica" w:hAnsi="Helvetica" w:cs="Helvetica"/>
          <w:color w:val="1A1A1A"/>
          <w:sz w:val="28"/>
          <w:szCs w:val="28"/>
        </w:rPr>
        <w:t>mnicolai2009@gmail.com</w:t>
      </w:r>
      <w:r>
        <w:rPr>
          <w:rFonts w:ascii="Helvetica" w:hAnsi="Helvetica" w:cs="Helvetica"/>
          <w:color w:val="1A1A1A"/>
          <w:sz w:val="28"/>
          <w:szCs w:val="28"/>
        </w:rPr>
        <w:t>.</w:t>
      </w:r>
    </w:p>
    <w:p w14:paraId="0199A5EC" w14:textId="77777777" w:rsidR="00AE24A2" w:rsidRDefault="00AE24A2" w:rsidP="00AE24A2">
      <w:pPr>
        <w:widowControl w:val="0"/>
        <w:autoSpaceDE w:val="0"/>
        <w:autoSpaceDN w:val="0"/>
        <w:adjustRightInd w:val="0"/>
        <w:ind w:left="2410" w:hanging="1843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b/>
          <w:color w:val="1A1A1A"/>
          <w:sz w:val="28"/>
          <w:szCs w:val="28"/>
        </w:rPr>
        <w:t>- 01 de maio</w:t>
      </w:r>
      <w:r>
        <w:rPr>
          <w:rFonts w:ascii="Helvetica" w:hAnsi="Helvetica" w:cs="Helvetica"/>
          <w:b/>
          <w:color w:val="1A1A1A"/>
          <w:sz w:val="28"/>
          <w:szCs w:val="28"/>
        </w:rPr>
        <w:tab/>
      </w:r>
      <w:r>
        <w:rPr>
          <w:rFonts w:ascii="Helvetica" w:hAnsi="Helvetica" w:cs="Helvetica"/>
          <w:color w:val="1A1A1A"/>
          <w:sz w:val="28"/>
          <w:szCs w:val="28"/>
        </w:rPr>
        <w:t>entrega da versão revisada pelos professores.</w:t>
      </w:r>
    </w:p>
    <w:p w14:paraId="7E7EF279" w14:textId="77777777" w:rsidR="00AE24A2" w:rsidRPr="00AE24A2" w:rsidRDefault="00AE24A2" w:rsidP="00AE24A2">
      <w:pPr>
        <w:widowControl w:val="0"/>
        <w:autoSpaceDE w:val="0"/>
        <w:autoSpaceDN w:val="0"/>
        <w:adjustRightInd w:val="0"/>
        <w:ind w:left="2410" w:hanging="1843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b/>
          <w:color w:val="1A1A1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b/>
          <w:color w:val="1A1A1A"/>
          <w:sz w:val="28"/>
          <w:szCs w:val="28"/>
        </w:rPr>
        <w:t>20 de junho</w:t>
      </w:r>
      <w:proofErr w:type="gramEnd"/>
      <w:r>
        <w:rPr>
          <w:rFonts w:ascii="Helvetica" w:hAnsi="Helvetica" w:cs="Helvetica"/>
          <w:b/>
          <w:color w:val="1A1A1A"/>
          <w:sz w:val="28"/>
          <w:szCs w:val="28"/>
        </w:rPr>
        <w:tab/>
      </w:r>
      <w:r>
        <w:rPr>
          <w:rFonts w:ascii="Helvetica" w:hAnsi="Helvetica" w:cs="Helvetica"/>
          <w:color w:val="1A1A1A"/>
          <w:sz w:val="28"/>
          <w:szCs w:val="28"/>
        </w:rPr>
        <w:t>entrega dos comprovantes de submissão do artigo.</w:t>
      </w:r>
    </w:p>
    <w:p w14:paraId="6728FE72" w14:textId="77777777" w:rsidR="00AE24A2" w:rsidRPr="00AE24A2" w:rsidRDefault="00AE24A2" w:rsidP="00AE24A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4 – Temas propostos</w:t>
      </w:r>
    </w:p>
    <w:p w14:paraId="2AB655C6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1 – Como a genética pode explicar a resistência de plantas daninhas a herbicidas</w:t>
      </w:r>
    </w:p>
    <w:p w14:paraId="30055829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2 – Biologia molecular a serviço da identificação de plantas daninhas resistentes a herbicidas</w:t>
      </w:r>
    </w:p>
    <w:p w14:paraId="5813DE75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3 – Herbicidas inibidores do fotossistema II – mecanismo de ação e resistência a herbicidas</w:t>
      </w:r>
    </w:p>
    <w:p w14:paraId="0D4A05E0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4 – Culturas transigência resistentes aos herbicidas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auxínicos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>: riscos de seleção de plantas daninhas resistentes</w:t>
      </w:r>
    </w:p>
    <w:p w14:paraId="6BD00DE8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5 – Riscos e benefícios do uso de herbicidas inibidores da ALS como alternativa de manejo de plantas daninhas resistentes ao glyphosate</w:t>
      </w:r>
    </w:p>
    <w:p w14:paraId="27B26B94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6 – Situação atual da resistência de plantas daninhas aos herbicidas inibidores da PROTOX</w:t>
      </w:r>
    </w:p>
    <w:p w14:paraId="02D5CEA2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7 – Herbicidas inibidores da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ACCase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e seu potencial de uso no controle de plantas voluntárias</w:t>
      </w:r>
    </w:p>
    <w:p w14:paraId="5F64C35D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8 – Glyphosate: recomendações de seu uso responsável na agricultura</w:t>
      </w:r>
    </w:p>
    <w:p w14:paraId="37A7AE90" w14:textId="77777777" w:rsidR="00AE24A2" w:rsidRDefault="00AE24A2" w:rsidP="00AE24A2">
      <w:pPr>
        <w:widowControl w:val="0"/>
        <w:autoSpaceDE w:val="0"/>
        <w:autoSpaceDN w:val="0"/>
        <w:adjustRightInd w:val="0"/>
        <w:ind w:left="851" w:hanging="425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9 – Potencial do uso de herbicidas inibidores da mitose na agricultura atual</w:t>
      </w:r>
    </w:p>
    <w:p w14:paraId="36E0AABF" w14:textId="77777777" w:rsidR="0059416C" w:rsidRDefault="00AE24A2" w:rsidP="00AE24A2">
      <w:pPr>
        <w:ind w:left="851" w:hanging="425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10 – Resistência de plantas daninhas a herbicidas inibidores da HPPD e potencial de uso de culturas transgênicas no futuro</w:t>
      </w:r>
      <w:bookmarkStart w:id="0" w:name="_GoBack"/>
      <w:bookmarkEnd w:id="0"/>
    </w:p>
    <w:sectPr w:rsidR="0059416C" w:rsidSect="00FF17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2"/>
    <w:rsid w:val="0059416C"/>
    <w:rsid w:val="00AE24A2"/>
    <w:rsid w:val="00ED6789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97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AE24A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1169</Characters>
  <Application>Microsoft Macintosh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2016-02-28T10:14:00Z</dcterms:created>
  <dcterms:modified xsi:type="dcterms:W3CDTF">2016-02-28T10:23:00Z</dcterms:modified>
</cp:coreProperties>
</file>