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82" w:rsidRPr="000F6382" w:rsidRDefault="000F6382" w:rsidP="000F638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505050"/>
          <w:kern w:val="36"/>
          <w:sz w:val="39"/>
          <w:szCs w:val="39"/>
          <w:lang w:eastAsia="pt-BR"/>
        </w:rPr>
      </w:pPr>
      <w:r w:rsidRPr="000F6382">
        <w:rPr>
          <w:rFonts w:ascii="Arial" w:eastAsia="Times New Roman" w:hAnsi="Arial" w:cs="Arial"/>
          <w:b/>
          <w:bCs/>
          <w:color w:val="505050"/>
          <w:kern w:val="36"/>
          <w:sz w:val="39"/>
          <w:szCs w:val="39"/>
          <w:lang w:eastAsia="pt-BR"/>
        </w:rPr>
        <w:t>Lei 9019/95 | Lei nº 9.019, de 30 de Março de 1995</w:t>
      </w:r>
    </w:p>
    <w:p w:rsidR="000F6382" w:rsidRPr="000F6382" w:rsidRDefault="000F6382" w:rsidP="000F6382">
      <w:pPr>
        <w:spacing w:after="225" w:line="240" w:lineRule="auto"/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pt-BR"/>
        </w:rPr>
        <w:t xml:space="preserve">Dispõe sobre a aplicação dos direitos previstos no Acordo Antidumping e no Acordo de Subsídios e Direitos Compensatórios, e dá outras providências. </w:t>
      </w:r>
      <w:hyperlink r:id="rId4" w:tooltip="Ver documentos que citam essa ementa" w:history="1">
        <w:r w:rsidRPr="000F6382">
          <w:rPr>
            <w:rFonts w:ascii="Arial" w:eastAsia="Times New Roman" w:hAnsi="Arial" w:cs="Arial"/>
            <w:i/>
            <w:iCs/>
            <w:color w:val="3E5B16"/>
            <w:sz w:val="17"/>
            <w:szCs w:val="17"/>
            <w:u w:val="single"/>
            <w:lang w:eastAsia="pt-BR"/>
          </w:rPr>
          <w:t xml:space="preserve">Citado por 245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Faço saber que o PRESIDENTE DA REPÚBLICA adotou a Medida Provisória nº </w:t>
      </w:r>
      <w:hyperlink r:id="rId5" w:tooltip="Medida Provisoria 926/95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926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1995, que o Congresso Nacional aprovou, e eu, JOSÉ SARNEY, Presidente, para os efeitos do disposto no </w:t>
      </w:r>
      <w:hyperlink r:id="rId6" w:tooltip="Parágrafo 1 do Artigo 62 do Constituição da Republica Federativa do Brasil 1988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parágrafo único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do art. </w:t>
      </w:r>
      <w:hyperlink r:id="rId7" w:tooltip="Artigo 62 do Constituição da Republica Federativa do Brasil 1988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62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da </w:t>
      </w:r>
      <w:hyperlink r:id="rId8" w:tooltip="Constituição da Republica Federativa do Brasil 1988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Constituição Federal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promulgo a seguinte lei: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9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1º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</w:t>
      </w:r>
      <w:proofErr w:type="gram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Os direitos antidumping</w:t>
      </w:r>
      <w:proofErr w:type="gram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 os direitos compensatórios, provisórios ou definitivos, de que tratam o Acordo Antidumping e o Acordo de Subsídios e Direitos Compensatórios, aprovados, respectivamente, pelos Decretos Legislativos 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nºs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</w:t>
      </w:r>
      <w:hyperlink r:id="rId10" w:tooltip="Decreto Legislativo 20/68 SP" w:history="1">
        <w:r w:rsidR="000F6382"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20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22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5 de dezembro de 1986, e promulgados pelos Decretos 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nºs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93.941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16 de janeiro de 1987, e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93.962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, de 22 de janeiro de 1987, decorrentes do Acordo Geral sobre Tarifas Aduaneiras e Comércio (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Gatt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), adotado pela Lei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313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30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de julho de 1948, e ainda o Acordo sobre Implementação do Artigo VI do Acordo Geral sobre Tarifas e Comércio 1994 e o Acordo sobre Subsídios e Medidas Compensatórias, anexados ao Acordo Constitutivo da Organização Mundial de Comércio (OMC), parte integrante da Ata Final que Incorpora os Resultados da Rodada Uruguai de Negociações Comerciais Multilaterais do 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Gatt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assinada em 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Marraqueche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em 12 de abril de 1994, aprovada pelo Decreto Legislativo nº 30, de 15 de dezembro de 1994, promulgada pelo Decreto nº </w:t>
      </w:r>
      <w:hyperlink r:id="rId11" w:tooltip="Decreto 1355/94" w:history="1">
        <w:r w:rsidR="000F6382"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1.355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30 de dezembro de 1994, serão aplicados mediante a cobrança de importância, em moeda corrente do País, que corresponderá a percentual da margem de dumping ou do montante de subsídios, apurados em processo administrativo, nos termos dos mencionados Acordos, das decisões PC/13, PC/14, PC/15 e PC/16 do Comitê Preparatório e das partes contratantes do 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Gatt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datadas de 13 de dezembro de 1994, e desta lei, suficientes </w:t>
      </w:r>
      <w:proofErr w:type="gram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para</w:t>
      </w:r>
      <w:proofErr w:type="gram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sanar dano ou ameaça de dano à indústria doméstica. </w:t>
      </w:r>
      <w:hyperlink r:id="rId12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21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Parágrafo único.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Os direitos antidumping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 os direitos compensatórios serão cobrados independentemente de quaisquer obrigações de natureza tributária relativas à importação dos produtos afetados. </w:t>
      </w:r>
      <w:hyperlink r:id="rId13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8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14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2º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Poderão ser aplicados direitos provisórios durante a investigação, quando da análise preliminar verificar-se a existência de indícios da prática de dumping ou de concessão de subsídios, e que tais práticas causam dano, ou ameaça de dano, à indústria doméstica, e se julgue necessário impedi-las no curso da investigação. </w:t>
      </w:r>
      <w:hyperlink r:id="rId15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9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Parágrafo único. O termo "indústria doméstica" deverá ser entendido conforme o disposto nos Acordos Antidumping e nos Acordos de Subsídios e Direitos Compensatórios, mencionados no art. 1º, abrangendo as empresas produtoras de bens agrícolas, minerais ou industriais.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Parágrafo único. Os termos "dano" e "indústria doméstica" deverão ser entendidos conforme o disposto nos Acordos Antidumping e nos Acordos de Subsídios e Direitos Compensatórios, mencionados no art. 1o, abrangendo as empresas produtoras de bens agrícolas, minerais ou industriais. (Redação dada pela Medida Provisória nº 2.158-35, de 2001)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hyperlink r:id="rId16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3º</w:t>
        </w:r>
      </w:hyperlink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A exigibilidade dos direitos provisórios poderá ficar suspensa, até decisão final do processo, a critério das autoridades referidas no art. </w:t>
      </w:r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u w:val="single"/>
          <w:lang w:eastAsia="pt-BR"/>
        </w:rPr>
        <w:t>6º</w:t>
      </w:r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desta lei, desde que o importador ofereça garantia equivalente ao valor integral da obrigação e demais encargos legais, que consistirá em: </w:t>
      </w:r>
      <w:hyperlink r:id="rId17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19 </w:t>
        </w:r>
      </w:hyperlink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18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3o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A exigibilidade dos direitos provisórios poderá ficar suspensa, até decisão final do processo, a critério da CAMEX, desde que o importador ofereça garantia equivalente ao valor integral da obrigação e dos demais encargos legais, que consistirá em: (Redação dada pela Medida Provisória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2.158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-35, de 2001) </w:t>
      </w:r>
      <w:hyperlink r:id="rId19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19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I - depósito em dinheiro; ou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II - fiança bancária.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1º A garantia deverá assegurar, em todos os casos, a aplicação das mesmas normas que disciplinam a hipótese de atraso no pagamento de tributos federais, inclusive juros, desde a data de vigência dos direitos provisórios. </w:t>
      </w:r>
      <w:hyperlink r:id="rId20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3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lastRenderedPageBreak/>
        <w:t xml:space="preserve">§ 2º A Secretaria da Receita Federal (SRF), do Ministério da Fazenda, disporá sobre a forma de prestação e liberação da garantia referida neste artigo. </w:t>
      </w:r>
      <w:hyperlink r:id="rId21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3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3º O desembaraço aduaneiro dos bens objeto da aplicação dos direitos provisórios dependerá da prestação da garantia a que se refere este artigo. </w:t>
      </w:r>
      <w:hyperlink r:id="rId22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3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23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4º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Poderá ser celebrado com o exportador ou o governo do país exportador compromisso que elimine os efeitos prejudiciais decorrentes da prática de dumping ou de subsídios.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>§ 1º O compromisso a que se refere este artigo será celebrado perante a Secretaria de Comércio Exterior (</w:t>
      </w:r>
      <w:proofErr w:type="spellStart"/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>Secex</w:t>
      </w:r>
      <w:proofErr w:type="spellEnd"/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), do Ministério da Indústria, do Comércio e do Turismo, submetido à homologação conjunta das autoridades a que se refere o art. 6º desta lei.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1o O compromisso a que se refere este artigo será celebrado perante a Secretaria de Comércio Exterior - SECEX, do Ministério do Desenvolvimento, Indústria e Comércio Exterior, submetido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a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homologação da CAMEX. (Redação dada pela Medida Provisória nº 2.158-35, de 2001)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2º Na hipótese de homologação de compromisso, a investigação será suspensa, sem a imposição de direitos provisórios ou definitivos, ressalvado o disposto nos Acordos Antidumping e nos Acordos de Subsídios e Direitos Compensatórios, mencionados no art. 1º.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hyperlink r:id="rId24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5º</w:t>
        </w:r>
      </w:hyperlink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Compete à Secretaria de Comércio Exterior (</w:t>
      </w:r>
      <w:proofErr w:type="spellStart"/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>Secex</w:t>
      </w:r>
      <w:proofErr w:type="spellEnd"/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), do Ministério da Indústria, do Comércio e do Turismo, mediante processo administrativo, apurar a margem de dumping ou montante de subsídio, a existência de dano ou ameaça de dano, e a relação causal entre esses. </w:t>
      </w:r>
      <w:hyperlink r:id="rId25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4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hyperlink r:id="rId26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6º</w:t>
        </w:r>
      </w:hyperlink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Compete aos Ministros da Fazenda e da Indústria, do Comércio e do Turismo, mediante portaria conjunta, fixar os direitos provisórios ou definitivos, bem como decidir sobre a suspensão da exigibilidade dos direitos provisórios, a que se refere o art. </w:t>
      </w:r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u w:val="single"/>
          <w:lang w:eastAsia="pt-BR"/>
        </w:rPr>
        <w:t>3º</w:t>
      </w:r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desta lei. </w:t>
      </w:r>
      <w:hyperlink r:id="rId27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6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Parágrafo único. O ato de imposição de direitos antidumping ou compensatórios, provisórios ou definitivos, deverá indicar o prazo de vigência, o produto atingido, o valor da obrigação, o país de origem ou de exportação, o nome do exportador e as razões pelas quais a decisão foi tomada.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28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5o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Compete à SECEX, mediante processo administrativo, apurar a margem de dumping ou o montante de subsídio, a existência de dano e a relação causal entre esses. (Redação dada pela Medida Provisória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2.158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-35, de 2001) </w:t>
      </w:r>
      <w:hyperlink r:id="rId29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4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30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6o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Compete à CAMEX fixar os direitos provisórios ou definitivos, bem como decidir sobre a suspensão da exigibilidade dos direitos provisórios, a que se refere o art.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3o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desta Lei. (Redação dada pela Medida Provisória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2.158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-35, de 2001) </w:t>
      </w:r>
      <w:hyperlink r:id="rId31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6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Parágrafo único. O ato de imposição de direitos antidumping ou Compensatórios, provisórios ou definitivos, deverá indicar o prazo de vigência, o produto atingido, o valor da obrigação, o país de origem ou de exportação, as razões pelas quais a decisão foi tomada, e, quando couber, o nome dos exportadores. (Redação dada pela Medida Provisória nº 2.158-35, de 2001)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32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7º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 cumprimento das obrigações resultantes da aplicação dos </w:t>
      </w:r>
      <w:proofErr w:type="gram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direitos antidumping</w:t>
      </w:r>
      <w:proofErr w:type="gram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 dos direitos compensatórios, sejam definitivos ou provisórios, será condição para a introdução no comércio do País de produtos objeto de dumping ou subsídio. </w:t>
      </w:r>
      <w:hyperlink r:id="rId33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17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1º Será competente para a cobrança dos direitos antidumping e compensatórios, provisórios ou definitivos, quando se tratar de valor em dinheiro, bem como, se for o caso, para sua restituição, a SRF do Ministério da Fazenda. </w:t>
      </w:r>
      <w:hyperlink r:id="rId34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3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§ 2º Verificado inadimplemento da obrigação, a SRF encaminhará a documentação pertinente à Procuradoria-Geral da Fazenda Nacional para inscrição do débito em Dívida Ativa da União e respectiva cobrança. </w:t>
      </w:r>
      <w:hyperlink r:id="rId35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8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2o Os direitos antidumping e os direitos compensatórios são devidos na data do registro da declaração de importação. (Redação dada pela Lei nº </w:t>
      </w:r>
      <w:hyperlink r:id="rId36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  <w:hyperlink r:id="rId37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8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lastRenderedPageBreak/>
        <w:t xml:space="preserve">§ 3o A falta de recolhimento de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direitos antidumping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ou de direitos compensatórios na data prevista no § 2o acarretará, sobre o valor não recolhido: (Incluído pela Lei nº </w:t>
      </w:r>
      <w:hyperlink r:id="rId38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  <w:hyperlink r:id="rId39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4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I - no caso de pagamento espontâneo, após o desembaraço aduaneiro: (Incluído pela Lei nº </w:t>
      </w:r>
      <w:hyperlink r:id="rId40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a) a incidência de multa de mora, calculada à taxa de 0,33% (trinta e três centésimos por cento), por dia de atraso, a partir do 1o (primeiro) dia subseqüente ao do registro da declaração de importação até o dia em que ocorrer o seu pagamento, limitada a 20% (vinte por cento); e (Incluído pela Lei nº </w:t>
      </w:r>
      <w:hyperlink r:id="rId41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b) a incidência de juros de mora calculados à taxa referencial do Sistema Especial de Liquidação e Custódia - SELIC, para títulos federais, acumulada mensalmente, a partir do 1o (primeiro) dia do mês subseqüente ao do registro da declaração de importação até o último dia do mês anterior ao do pagamento e de 1% (um por cento) no mês do pagamento; e (Incluído pela Lei nº </w:t>
      </w:r>
      <w:hyperlink r:id="rId42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II - no caso de exigência de ofício, de multa de 75% (setenta e cinco por cento) e dos juros de mora previstos na alínea b do inciso I deste parágrafo. (Incluído pela Lei nº </w:t>
      </w:r>
      <w:hyperlink r:id="rId43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4o A multa de que trata o inciso II do § 3o será exigida isoladamente quando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os direitos antidumping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ou os direitos compensatórios houverem sido pagos após o registro da declaração de importação, mas sem os acréscimos moratórios. (Incluído pela Lei nº </w:t>
      </w:r>
      <w:hyperlink r:id="rId44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  <w:hyperlink r:id="rId45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4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5o A exigência de ofício de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direitos antidumping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ou de direitos compensatórios e decorrentes acréscimos moratórios e penalidades será formalizada em auto de infração lavrado por Auditor-Fiscal da Receita Federal, observado o disposto no Decreto no </w:t>
      </w:r>
      <w:hyperlink r:id="rId46" w:tooltip="Decreto 70235/72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70.235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6 de março de 1972, e o prazo de 5 (cinco) anos contados da data de registro da declaração de importação. (Incluído pela Lei nº </w:t>
      </w:r>
      <w:hyperlink r:id="rId47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  <w:hyperlink r:id="rId48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2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6o Verificado o inadimplemento da obrigação, a Secretaria da Receita Federal encaminhará o débito à Procuradoria-Geral da Fazenda Nacional, para inscrição em Dívida Ativa da União e respectiva cobrança, observado o prazo de prescrição de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5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(cinco) anos. (Incluído pela Lei nº </w:t>
      </w:r>
      <w:hyperlink r:id="rId49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  <w:hyperlink r:id="rId50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2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7o A restituição de valores pagos a título de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direitos antidumping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 de direitos compensatórios, provisórios ou definitivos, enseja a restituição dos acréscimos legais correspondentes e das penalidades pecuniárias, de caráter material, prejudicados pela causa da restituição. (Incluído pela Lei nº </w:t>
      </w:r>
      <w:hyperlink r:id="rId51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  <w:hyperlink r:id="rId52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2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8o O julgamento dos processos relativos à exigência de que trata o § 5o, observado o disposto no Decreto no </w:t>
      </w:r>
      <w:hyperlink r:id="rId53" w:tooltip="Decreto 70235/72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70.235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6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de março de 1972, compete: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(Incluído pela Medida Provisória nº </w:t>
      </w:r>
      <w:hyperlink r:id="rId54" w:tooltip="Medida Provisoria 320/06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320</w:t>
        </w:r>
      </w:hyperlink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, 2006)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Sem eficácia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I - em primeira instância, às Delegacias da Receita Federal de Julgamento, na forma estabelecida pelo Secretário da Secretaria da Receita Federal; e (Incluído pela Medida Provisória nº 320, 2006)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Sem eficácia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II - em segunda instância, ao Terceiro Conselho de Contribuintes do Ministério da Fazenda.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(Incluído pela Medida Provisória nº 320, 2006)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Sem eficácia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55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8º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Os direitos antidumping ou compensatórios, provisórios ou definitivos, somente serão aplicados sobre bens despachados para consumo a partir da data da publicação do ato que os estabelecer, excetuando-se os casos de retroatividade previstos nos Acordos Antidumping e nos Acordos de Subsídios e Direitos Compensatórios, mencionados no art. 1º. </w:t>
      </w:r>
      <w:hyperlink r:id="rId56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11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lastRenderedPageBreak/>
        <w:t xml:space="preserve">§ 1o Nos casos de retroatividade, a Secretaria da Receita Federal intimará o contribuinte ou responsável para pagar os direitos antidumping ou compensatórios, provisórios ou definitivos, no prazo de 30 (trinta) dias, sem a incidência de quaisquer acréscimos moratórios. (Incluído pela Lei nº </w:t>
      </w:r>
      <w:hyperlink r:id="rId57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  <w:hyperlink r:id="rId58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2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2o Vencido o prazo previsto no § 1o, sem que tenha havido o pagamento dos direitos, a Secretaria da Receita Federal deverá exigi-los de ofício, mediante a lavratura de auto de infração, aplicando-se a multa e os juros de mora previstos no inciso II do </w:t>
      </w:r>
      <w:hyperlink r:id="rId59" w:tooltip="Ver documentos que citam esse parágrafo" w:history="1"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4</w:t>
        </w:r>
        <w:proofErr w:type="gramEnd"/>
        <w:r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§ 3o do art. 7o, a partir do término do prazo de 30 (trinta) dias previsto no § 1o deste artigo. (Incluído pela Lei nº </w:t>
      </w:r>
      <w:hyperlink r:id="rId60" w:tooltip="Lei 10833/03" w:history="1">
        <w:r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10.833</w:t>
        </w:r>
      </w:hyperlink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29.12.2003)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61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9º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Os direitos terão vigência temporária, a ser definida no ato de seu estabelecimento, observado que: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I - os provisórios terão vigência não superior a 120 dias, salvo no caso de </w:t>
      </w:r>
      <w:proofErr w:type="gramStart"/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>direitos antidumping, quando,</w:t>
      </w:r>
      <w:proofErr w:type="gramEnd"/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por decisão dos Ministros da Fazenda e da Indústria, do Comércio e do Turismo, poderão vigorar por um período de até 180 dias, observado o disposto nos Acordos Antidumping, mencionados no art. 1º;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II - os definitivos ou compromisso homologado só permanecerão em vigor durante o tempo e na medida necessária para eliminar ou neutralizar as práticas de dumping e a concessão de subsídios que estejam causando dano. Em nenhuma hipótese, vigorarão por mais de cinco anos, exceto quando, no caso de revisão, se mostre necessário manter a medida para impedir a continuação ou repetição do dano causado pelas importações objeto de dumping ou subsídio.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I - os provisórios terão vigência não superior a cento e vinte dias, salvo no caso de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direitos antidumping, quando,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por decisão da CAMEX, poderão vigorar por um período de até duzentos e setenta dias, observado o disposto nos Acordos Antidumping, mencionados no art. 1o; (Redação dada pela Medida Provisória nº 2.158-35, de 2001)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II - os definitivos ou compromisso homologado só permanecerão em vigor durante o tempo e na medida necessária para eliminar ou neutralizar as práticas de dumping e a concessão de subsídios que estejam causando dano. Em nenhuma hipótese, vigorarão por mais de cinco anos, exceto quando, no caso de revisão, se mostre necessário manter a medida para impedir a continuação ou a retomada do dumping e do dano causado pelas importações objeto de dumping ou subsídio. (Redação dada pela Medida Provisória nº 2.158-35, de 2001)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Parágrafo único. Os exportadores envolvidos no processo de investigação que desejarem a extensão para até seis meses do prazo de vigência de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direitos antidumping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provisórios, nos termos do inciso I deste artigo, deverão apresentar à </w:t>
      </w:r>
      <w:proofErr w:type="spell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Secex</w:t>
      </w:r>
      <w:proofErr w:type="spell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solicitação formal nesse sentido, no prazo máximo de trinta dias antes do término do período de vigência do direito.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62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 xml:space="preserve">Art. </w:t>
        </w:r>
        <w:proofErr w:type="gramStart"/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10.</w:t>
        </w:r>
        <w:proofErr w:type="gramEnd"/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Para efeito de execução orçamentária, as receitas oriundas da cobrança dos direitos antidumping e dos direitos compensatórios, classificadas como receitas originárias, serão enquadradas na categoria de entradas compensatórias previstas no </w:t>
      </w:r>
      <w:hyperlink r:id="rId63" w:tooltip="Parágrafo 1 do Artigo 3 da Lei de Normas Gerais de Direito Financeiro - Lei 4320/64" w:history="1">
        <w:r w:rsidR="000F6382"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parágrafo único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do art. </w:t>
      </w:r>
      <w:hyperlink r:id="rId64" w:tooltip="Artigo 3 da Lei de Normas Gerais de Direito Financeiro - Lei 4320/64" w:history="1">
        <w:r w:rsidR="000F6382"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3º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da Lei nº </w:t>
      </w:r>
      <w:hyperlink r:id="rId65" w:tooltip="Lei de Normas Gerais de Direito Financeiro - Lei 4320/64" w:history="1">
        <w:r w:rsidR="000F6382"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4.320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17 de março de 1964. </w:t>
      </w:r>
      <w:hyperlink r:id="rId66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2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Parágrafo único. As receitas oriundas da cobrança dos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direitos antidumping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 dos Direitos Compensatórios de que trata este artigo, serão destinadas ao Ministério do Desenvolvimento, Indústria e Comércio Exterior, para aplicação na área de comércio exterior, conforme diretrizes estabelecidas pela CAMEX. (Incluído pela Medida Provisória nº 2.158-35, de 2001)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hyperlink r:id="rId67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10-</w:t>
        </w:r>
      </w:hyperlink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A. As medidas antidumping e compensatórias poderão ser estendidas a terceiros países, bem como a partes, peças e componentes dos produtos objeto de medidas vigentes, caso seja constatada a existência de práticas </w:t>
      </w:r>
      <w:proofErr w:type="spellStart"/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>elisivas</w:t>
      </w:r>
      <w:proofErr w:type="spellEnd"/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que frustrem a sua aplicação. (Incluído pela Medida Provisória nº </w:t>
      </w:r>
      <w:hyperlink r:id="rId68" w:tooltip="Medida Provisoria 429/08" w:history="1">
        <w:r w:rsidR="000F6382" w:rsidRPr="000F6382">
          <w:rPr>
            <w:rFonts w:ascii="Arial" w:eastAsia="Times New Roman" w:hAnsi="Arial" w:cs="Arial"/>
            <w:color w:val="3E5B16"/>
            <w:sz w:val="20"/>
            <w:szCs w:val="20"/>
            <w:u w:val="single"/>
            <w:lang w:eastAsia="pt-BR"/>
          </w:rPr>
          <w:t>429</w:t>
        </w:r>
      </w:hyperlink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, de 2008) </w:t>
      </w:r>
      <w:hyperlink r:id="rId69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>2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u w:val="single"/>
            <w:lang w:eastAsia="pt-BR"/>
          </w:rPr>
          <w:t xml:space="preserve"> </w:t>
        </w:r>
      </w:hyperlink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70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10-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 xml:space="preserve">A. As medidas antidumping e compensatórias poderão ser estendidas a terceiros países, bem como a partes, peças e componentes dos produtos objeto de medidas vigentes, caso seja constatada a existência de práticas 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>elisivas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 xml:space="preserve"> que frustrem a sua aplicação. (Incluído pela Lei nº </w:t>
      </w:r>
      <w:hyperlink r:id="rId71" w:tooltip="Lei 11786/08" w:history="1">
        <w:r w:rsidR="000F6382" w:rsidRPr="000F6382">
          <w:rPr>
            <w:rFonts w:ascii="Arial" w:eastAsia="Times New Roman" w:hAnsi="Arial" w:cs="Arial"/>
            <w:color w:val="3E5B16"/>
            <w:sz w:val="20"/>
            <w:szCs w:val="20"/>
            <w:highlight w:val="yellow"/>
            <w:u w:val="single"/>
            <w:lang w:eastAsia="pt-BR"/>
          </w:rPr>
          <w:t>11.786</w:t>
        </w:r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 xml:space="preserve">, de 2008) </w:t>
      </w:r>
      <w:hyperlink r:id="rId72" w:tooltip="Ver documentos que citam esse artigo" w:history="1"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highlight w:val="yellow"/>
            <w:u w:val="single"/>
            <w:lang w:eastAsia="pt-BR"/>
          </w:rPr>
          <w:t xml:space="preserve">Citado por </w:t>
        </w:r>
        <w:proofErr w:type="gramStart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highlight w:val="yellow"/>
            <w:u w:val="single"/>
            <w:lang w:eastAsia="pt-BR"/>
          </w:rPr>
          <w:t>2</w:t>
        </w:r>
        <w:proofErr w:type="gramEnd"/>
        <w:r w:rsidR="000F6382" w:rsidRPr="000F6382">
          <w:rPr>
            <w:rFonts w:ascii="Arial" w:eastAsia="Times New Roman" w:hAnsi="Arial" w:cs="Arial"/>
            <w:color w:val="3E5B16"/>
            <w:sz w:val="17"/>
            <w:szCs w:val="17"/>
            <w:highlight w:val="yellow"/>
            <w:u w:val="single"/>
            <w:lang w:eastAsia="pt-BR"/>
          </w:rPr>
          <w:t xml:space="preserve"> </w:t>
        </w:r>
      </w:hyperlink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</w:pPr>
      <w:hyperlink r:id="rId73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 xml:space="preserve">Art. </w:t>
        </w:r>
        <w:proofErr w:type="gramStart"/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11.</w:t>
        </w:r>
        <w:proofErr w:type="gramEnd"/>
      </w:hyperlink>
      <w:r w:rsidR="000F6382" w:rsidRPr="000F6382">
        <w:rPr>
          <w:rFonts w:ascii="Arial" w:eastAsia="Times New Roman" w:hAnsi="Arial" w:cs="Arial"/>
          <w:strike/>
          <w:color w:val="444444"/>
          <w:sz w:val="20"/>
          <w:szCs w:val="20"/>
          <w:lang w:eastAsia="pt-BR"/>
        </w:rPr>
        <w:t xml:space="preserve"> Os Ministros da Fazenda e da Indústria, do Comércio e do Turismo poderão editar, em conjunto, normas complementares a esta lei.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74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 xml:space="preserve">Art. </w:t>
        </w:r>
        <w:proofErr w:type="gramStart"/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11.</w:t>
        </w:r>
        <w:proofErr w:type="gramEnd"/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Compete à CAMEX editar normas complementares a esta Lei, exceto às relativas à oferta de garantia prevista no art.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3o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 ao cumprimento do disposto no art.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7o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que competem ao Ministério da Fazenda. (Redação dada pela Medida Provisória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2.158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-35, de 2001)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75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 xml:space="preserve">Art. </w:t>
        </w:r>
        <w:proofErr w:type="gramStart"/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12.</w:t>
        </w:r>
        <w:proofErr w:type="gramEnd"/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O processo administrativo a que se referem os arts. 1º e 5º atenderá, no que </w:t>
      </w:r>
      <w:proofErr w:type="gram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couber,</w:t>
      </w:r>
      <w:proofErr w:type="gram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ao disposto na Resolução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1.227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14 de maio de 1987, com as alterações da Resolução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1.582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17 de fevereiro de 1989, ambas da extinta Comissão de Política Aduaneira (CPA).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76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 xml:space="preserve">Art. </w:t>
        </w:r>
        <w:proofErr w:type="gramStart"/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13.</w:t>
        </w:r>
        <w:proofErr w:type="gramEnd"/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Ficam convalidados os atos praticados com base na Medida Provisória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879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30 de janeiro de 1995.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77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 xml:space="preserve">Art. </w:t>
        </w:r>
        <w:proofErr w:type="gramStart"/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14.</w:t>
        </w:r>
        <w:proofErr w:type="gramEnd"/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Esta Lei entra em vigor na data de sua publicação. </w:t>
      </w:r>
    </w:p>
    <w:p w:rsidR="000F6382" w:rsidRPr="000F6382" w:rsidRDefault="00986C18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hyperlink r:id="rId78" w:history="1"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 xml:space="preserve">Art. </w:t>
        </w:r>
        <w:proofErr w:type="gramStart"/>
        <w:r w:rsidR="000F6382" w:rsidRPr="000F6382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15.</w:t>
        </w:r>
        <w:proofErr w:type="gramEnd"/>
      </w:hyperlink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Revoga-se o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§ 2º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do art.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1º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do </w:t>
      </w:r>
      <w:proofErr w:type="spellStart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Decreto-lei</w:t>
      </w:r>
      <w:proofErr w:type="spellEnd"/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nº 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u w:val="single"/>
          <w:lang w:eastAsia="pt-BR"/>
        </w:rPr>
        <w:t>1.578</w:t>
      </w:r>
      <w:r w:rsidR="000F6382"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, de 11 de outubro de 1977.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Senado Federal, em 30 de março de 1995; 174º da Independência e 107º da República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SENADOR JOSÉ SARNEY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Presidente </w:t>
      </w:r>
    </w:p>
    <w:p w:rsidR="000F6382" w:rsidRPr="000F6382" w:rsidRDefault="000F6382" w:rsidP="000F6382">
      <w:pPr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Este texto não substitui o publicado no </w:t>
      </w:r>
      <w:proofErr w:type="spell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D.O.U.</w:t>
      </w:r>
      <w:proofErr w:type="spell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</w:t>
      </w:r>
      <w:proofErr w:type="gramStart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>de</w:t>
      </w:r>
      <w:proofErr w:type="gramEnd"/>
      <w:r w:rsidRPr="000F6382">
        <w:rPr>
          <w:rFonts w:ascii="Arial" w:eastAsia="Times New Roman" w:hAnsi="Arial" w:cs="Arial"/>
          <w:color w:val="444444"/>
          <w:sz w:val="20"/>
          <w:szCs w:val="20"/>
          <w:lang w:eastAsia="pt-BR"/>
        </w:rPr>
        <w:t xml:space="preserve"> 31.3.1995 </w:t>
      </w:r>
    </w:p>
    <w:p w:rsidR="009D03FC" w:rsidRDefault="009D03FC"/>
    <w:sectPr w:rsidR="009D03FC" w:rsidSect="009D0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382"/>
    <w:rsid w:val="000F6382"/>
    <w:rsid w:val="00986C18"/>
    <w:rsid w:val="009D03FC"/>
    <w:rsid w:val="00A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F6382"/>
    <w:rPr>
      <w:b/>
      <w:bCs/>
    </w:rPr>
  </w:style>
  <w:style w:type="paragraph" w:customStyle="1" w:styleId="ementa1">
    <w:name w:val="ementa1"/>
    <w:basedOn w:val="Normal"/>
    <w:rsid w:val="000F6382"/>
    <w:pPr>
      <w:spacing w:after="225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6689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4010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929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6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legislacao/anotada/2686986/art-1-par-1-da-lei-9019-95" TargetMode="External"/><Relationship Id="rId18" Type="http://schemas.openxmlformats.org/officeDocument/2006/relationships/hyperlink" Target="http://www.jusbrasil.com.br/legislacao/anotada/2686911/art-3-da-lei-9019-95" TargetMode="External"/><Relationship Id="rId26" Type="http://schemas.openxmlformats.org/officeDocument/2006/relationships/hyperlink" Target="http://www.jusbrasil.com.br/legislacao/anotada/2686669/art-6-da-lei-9019-95" TargetMode="External"/><Relationship Id="rId39" Type="http://schemas.openxmlformats.org/officeDocument/2006/relationships/hyperlink" Target="http://www.jusbrasil.com.br/legislacao/anotada/2686515/art-7-par-3-da-lei-9019-95" TargetMode="External"/><Relationship Id="rId21" Type="http://schemas.openxmlformats.org/officeDocument/2006/relationships/hyperlink" Target="http://www.jusbrasil.com.br/legislacao/anotada/2686813/art-3-par-2-da-lei-9019-95" TargetMode="External"/><Relationship Id="rId34" Type="http://schemas.openxmlformats.org/officeDocument/2006/relationships/hyperlink" Target="http://www.jusbrasil.com.br/legislacao/anotada/2686609/art-7-par-1-da-lei-9019-95" TargetMode="External"/><Relationship Id="rId42" Type="http://schemas.openxmlformats.org/officeDocument/2006/relationships/hyperlink" Target="http://www.jusbrasil.com.br/legislacao/98000/lei-10833-03" TargetMode="External"/><Relationship Id="rId47" Type="http://schemas.openxmlformats.org/officeDocument/2006/relationships/hyperlink" Target="http://www.jusbrasil.com.br/legislacao/98000/lei-10833-03" TargetMode="External"/><Relationship Id="rId50" Type="http://schemas.openxmlformats.org/officeDocument/2006/relationships/hyperlink" Target="http://www.jusbrasil.com.br/legislacao/anotada/2686273/art-7-par-6-da-lei-9019-95" TargetMode="External"/><Relationship Id="rId55" Type="http://schemas.openxmlformats.org/officeDocument/2006/relationships/hyperlink" Target="http://www.jusbrasil.com.br/legislacao/anotada/2686171/art-8-da-lei-9019-95" TargetMode="External"/><Relationship Id="rId63" Type="http://schemas.openxmlformats.org/officeDocument/2006/relationships/hyperlink" Target="http://www.jusbrasil.com.br/legislacao/109228/lei-de-normas-gerais-de-direito-financeiro-lei-4320-64" TargetMode="External"/><Relationship Id="rId68" Type="http://schemas.openxmlformats.org/officeDocument/2006/relationships/hyperlink" Target="http://www.jusbrasil.com.br/legislacao/93761/medida-provisoria-429-08" TargetMode="External"/><Relationship Id="rId76" Type="http://schemas.openxmlformats.org/officeDocument/2006/relationships/hyperlink" Target="http://www.jusbrasil.com.br/legislacao/anotada/2685895/art-13-da-lei-9019-95" TargetMode="External"/><Relationship Id="rId7" Type="http://schemas.openxmlformats.org/officeDocument/2006/relationships/hyperlink" Target="http://www.jusbrasil.com.br/legislacao/823945/constitui&#231;&#227;o-da-republica-federativa-do-brasil-1988" TargetMode="External"/><Relationship Id="rId71" Type="http://schemas.openxmlformats.org/officeDocument/2006/relationships/hyperlink" Target="http://www.jusbrasil.com.br/legislacao/93119/lei-11786-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legislacao/anotada/2686911/art-3-da-lei-9019-95" TargetMode="External"/><Relationship Id="rId29" Type="http://schemas.openxmlformats.org/officeDocument/2006/relationships/hyperlink" Target="http://www.jusbrasil.com.br/legislacao/anotada/2686682/art-5-da-lei-9019-95" TargetMode="External"/><Relationship Id="rId11" Type="http://schemas.openxmlformats.org/officeDocument/2006/relationships/hyperlink" Target="http://www.jusbrasil.com.br/legislacao/109761/decreto-1355-94" TargetMode="External"/><Relationship Id="rId24" Type="http://schemas.openxmlformats.org/officeDocument/2006/relationships/hyperlink" Target="http://www.jusbrasil.com.br/legislacao/anotada/2686682/art-5-da-lei-9019-95" TargetMode="External"/><Relationship Id="rId32" Type="http://schemas.openxmlformats.org/officeDocument/2006/relationships/hyperlink" Target="http://www.jusbrasil.com.br/legislacao/anotada/2686646/art-7-da-lei-9019-03" TargetMode="External"/><Relationship Id="rId37" Type="http://schemas.openxmlformats.org/officeDocument/2006/relationships/hyperlink" Target="http://www.jusbrasil.com.br/legislacao/anotada/2686568/art-7-par-2-da-lei-9019-95" TargetMode="External"/><Relationship Id="rId40" Type="http://schemas.openxmlformats.org/officeDocument/2006/relationships/hyperlink" Target="http://www.jusbrasil.com.br/legislacao/98000/lei-10833-03" TargetMode="External"/><Relationship Id="rId45" Type="http://schemas.openxmlformats.org/officeDocument/2006/relationships/hyperlink" Target="http://www.jusbrasil.com.br/legislacao/anotada/2686376/art-7-par-4-da-lei-9019-95" TargetMode="External"/><Relationship Id="rId53" Type="http://schemas.openxmlformats.org/officeDocument/2006/relationships/hyperlink" Target="http://www.jusbrasil.com.br/legislacao/109193/decreto-70235-72" TargetMode="External"/><Relationship Id="rId58" Type="http://schemas.openxmlformats.org/officeDocument/2006/relationships/hyperlink" Target="http://www.jusbrasil.com.br/legislacao/anotada/2686101/art-8-par-1-da-lei-9019-95" TargetMode="External"/><Relationship Id="rId66" Type="http://schemas.openxmlformats.org/officeDocument/2006/relationships/hyperlink" Target="http://www.jusbrasil.com.br/legislacao/anotada/2685929/art-10-da-lei-9019-95" TargetMode="External"/><Relationship Id="rId74" Type="http://schemas.openxmlformats.org/officeDocument/2006/relationships/hyperlink" Target="http://www.jusbrasil.com.br/legislacao/anotada/2685914/art-11-da-lei-9019-9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jusbrasil.com.br/legislacao/108342/medida-provisoria-926-95" TargetMode="External"/><Relationship Id="rId61" Type="http://schemas.openxmlformats.org/officeDocument/2006/relationships/hyperlink" Target="http://www.jusbrasil.com.br/legislacao/anotada/2685986/art-9-da-lei-9019-95" TargetMode="External"/><Relationship Id="rId10" Type="http://schemas.openxmlformats.org/officeDocument/2006/relationships/hyperlink" Target="http://www.jusbrasil.com.br/legislacao/223764/decreto-legislativo-20-68-s&#227;o-paulo-sp" TargetMode="External"/><Relationship Id="rId19" Type="http://schemas.openxmlformats.org/officeDocument/2006/relationships/hyperlink" Target="http://www.jusbrasil.com.br/legislacao/anotada/2686911/art-3-da-lei-9019-95" TargetMode="External"/><Relationship Id="rId31" Type="http://schemas.openxmlformats.org/officeDocument/2006/relationships/hyperlink" Target="http://www.jusbrasil.com.br/legislacao/anotada/2686669/art-6-da-lei-9019-95" TargetMode="External"/><Relationship Id="rId44" Type="http://schemas.openxmlformats.org/officeDocument/2006/relationships/hyperlink" Target="http://www.jusbrasil.com.br/legislacao/98000/lei-10833-03" TargetMode="External"/><Relationship Id="rId52" Type="http://schemas.openxmlformats.org/officeDocument/2006/relationships/hyperlink" Target="http://www.jusbrasil.com.br/legislacao/anotada/2686228/art-7-par-7-da-lei-9019-95" TargetMode="External"/><Relationship Id="rId60" Type="http://schemas.openxmlformats.org/officeDocument/2006/relationships/hyperlink" Target="http://www.jusbrasil.com.br/legislacao/98000/lei-10833-03" TargetMode="External"/><Relationship Id="rId65" Type="http://schemas.openxmlformats.org/officeDocument/2006/relationships/hyperlink" Target="http://www.jusbrasil.com.br/legislacao/109228/lei-de-normas-gerais-de-direito-financeiro-lei-4320-64" TargetMode="External"/><Relationship Id="rId73" Type="http://schemas.openxmlformats.org/officeDocument/2006/relationships/hyperlink" Target="http://www.jusbrasil.com.br/legislacao/anotada/2685914/art-11-da-lei-9019-95" TargetMode="External"/><Relationship Id="rId78" Type="http://schemas.openxmlformats.org/officeDocument/2006/relationships/hyperlink" Target="http://www.jusbrasil.com.br/legislacao/anotada/2685875/art-15-da-lei-9019-95" TargetMode="External"/><Relationship Id="rId4" Type="http://schemas.openxmlformats.org/officeDocument/2006/relationships/hyperlink" Target="http://www.jusbrasil.com.br/legislacao/anotada/2687037/lei-9019-95" TargetMode="External"/><Relationship Id="rId9" Type="http://schemas.openxmlformats.org/officeDocument/2006/relationships/hyperlink" Target="http://www.jusbrasil.com.br/legislacao/anotada/2687032/art-1-da-lei-9019-95" TargetMode="External"/><Relationship Id="rId14" Type="http://schemas.openxmlformats.org/officeDocument/2006/relationships/hyperlink" Target="http://www.jusbrasil.com.br/legislacao/anotada/2686960/art-2-da-lei-9019-95" TargetMode="External"/><Relationship Id="rId22" Type="http://schemas.openxmlformats.org/officeDocument/2006/relationships/hyperlink" Target="http://www.jusbrasil.com.br/legislacao/anotada/2686765/art-3-par-3-da-lei-9019-95" TargetMode="External"/><Relationship Id="rId27" Type="http://schemas.openxmlformats.org/officeDocument/2006/relationships/hyperlink" Target="http://www.jusbrasil.com.br/legislacao/anotada/2686669/art-6-da-lei-9019-95" TargetMode="External"/><Relationship Id="rId30" Type="http://schemas.openxmlformats.org/officeDocument/2006/relationships/hyperlink" Target="http://www.jusbrasil.com.br/legislacao/anotada/2686669/art-6-da-lei-9019-95" TargetMode="External"/><Relationship Id="rId35" Type="http://schemas.openxmlformats.org/officeDocument/2006/relationships/hyperlink" Target="http://www.jusbrasil.com.br/legislacao/anotada/2686568/art-7-par-2-da-lei-9019-95" TargetMode="External"/><Relationship Id="rId43" Type="http://schemas.openxmlformats.org/officeDocument/2006/relationships/hyperlink" Target="http://www.jusbrasil.com.br/legislacao/98000/lei-10833-03" TargetMode="External"/><Relationship Id="rId48" Type="http://schemas.openxmlformats.org/officeDocument/2006/relationships/hyperlink" Target="http://www.jusbrasil.com.br/legislacao/anotada/2686314/art-7-par-5-da-lei-9019-95" TargetMode="External"/><Relationship Id="rId56" Type="http://schemas.openxmlformats.org/officeDocument/2006/relationships/hyperlink" Target="http://www.jusbrasil.com.br/legislacao/anotada/2686171/art-8-da-lei-9019-95" TargetMode="External"/><Relationship Id="rId64" Type="http://schemas.openxmlformats.org/officeDocument/2006/relationships/hyperlink" Target="http://www.jusbrasil.com.br/legislacao/109228/lei-de-normas-gerais-de-direito-financeiro-lei-4320-64" TargetMode="External"/><Relationship Id="rId69" Type="http://schemas.openxmlformats.org/officeDocument/2006/relationships/hyperlink" Target="http://www.jusbrasil.com.br/legislacao/anotada/2685929/art-10-da-lei-9019-95" TargetMode="External"/><Relationship Id="rId77" Type="http://schemas.openxmlformats.org/officeDocument/2006/relationships/hyperlink" Target="http://www.jusbrasil.com.br/legislacao/anotada/2685887/art-14-da-lei-9019-95" TargetMode="External"/><Relationship Id="rId8" Type="http://schemas.openxmlformats.org/officeDocument/2006/relationships/hyperlink" Target="http://www.jusbrasil.com.br/legislacao/823945/constitui&#231;&#227;o-da-republica-federativa-do-brasil-1988" TargetMode="External"/><Relationship Id="rId51" Type="http://schemas.openxmlformats.org/officeDocument/2006/relationships/hyperlink" Target="http://www.jusbrasil.com.br/legislacao/98000/lei-10833-03" TargetMode="External"/><Relationship Id="rId72" Type="http://schemas.openxmlformats.org/officeDocument/2006/relationships/hyperlink" Target="http://www.jusbrasil.com.br/legislacao/anotada/2685929/art-10-da-lei-9019-95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jusbrasil.com.br/legislacao/anotada/2687032/art-1-da-lei-9019-95" TargetMode="External"/><Relationship Id="rId17" Type="http://schemas.openxmlformats.org/officeDocument/2006/relationships/hyperlink" Target="http://www.jusbrasil.com.br/legislacao/anotada/2686911/art-3-da-lei-9019-95" TargetMode="External"/><Relationship Id="rId25" Type="http://schemas.openxmlformats.org/officeDocument/2006/relationships/hyperlink" Target="http://www.jusbrasil.com.br/legislacao/anotada/2686682/art-5-da-lei-9019-95" TargetMode="External"/><Relationship Id="rId33" Type="http://schemas.openxmlformats.org/officeDocument/2006/relationships/hyperlink" Target="http://www.jusbrasil.com.br/legislacao/anotada/2686646/art-7-da-lei-9019-03" TargetMode="External"/><Relationship Id="rId38" Type="http://schemas.openxmlformats.org/officeDocument/2006/relationships/hyperlink" Target="http://www.jusbrasil.com.br/legislacao/98000/lei-10833-03" TargetMode="External"/><Relationship Id="rId46" Type="http://schemas.openxmlformats.org/officeDocument/2006/relationships/hyperlink" Target="http://www.jusbrasil.com.br/legislacao/109193/decreto-70235-72" TargetMode="External"/><Relationship Id="rId59" Type="http://schemas.openxmlformats.org/officeDocument/2006/relationships/hyperlink" Target="http://www.jusbrasil.com.br/legislacao/anotada/2686054/art-8-par-2-da-lei-9019-95" TargetMode="External"/><Relationship Id="rId67" Type="http://schemas.openxmlformats.org/officeDocument/2006/relationships/hyperlink" Target="http://www.jusbrasil.com.br/legislacao/anotada/2685929/art-10-da-lei-9019-95" TargetMode="External"/><Relationship Id="rId20" Type="http://schemas.openxmlformats.org/officeDocument/2006/relationships/hyperlink" Target="http://www.jusbrasil.com.br/legislacao/anotada/2686857/art-3-par-1-da-lei-9019-95" TargetMode="External"/><Relationship Id="rId41" Type="http://schemas.openxmlformats.org/officeDocument/2006/relationships/hyperlink" Target="http://www.jusbrasil.com.br/legislacao/98000/lei-10833-03" TargetMode="External"/><Relationship Id="rId54" Type="http://schemas.openxmlformats.org/officeDocument/2006/relationships/hyperlink" Target="http://www.jusbrasil.com.br/legislacao/95497/medida-provisoria-320-06" TargetMode="External"/><Relationship Id="rId62" Type="http://schemas.openxmlformats.org/officeDocument/2006/relationships/hyperlink" Target="http://www.jusbrasil.com.br/legislacao/anotada/2685929/art-10-da-lei-9019-95" TargetMode="External"/><Relationship Id="rId70" Type="http://schemas.openxmlformats.org/officeDocument/2006/relationships/hyperlink" Target="http://www.jusbrasil.com.br/legislacao/anotada/2685929/art-10-da-lei-9019-95" TargetMode="External"/><Relationship Id="rId75" Type="http://schemas.openxmlformats.org/officeDocument/2006/relationships/hyperlink" Target="http://www.jusbrasil.com.br/legislacao/anotada/2685902/art-12-da-lei-9019-9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823945/constitui&#231;&#227;o-da-republica-federativa-do-brasil-1988" TargetMode="External"/><Relationship Id="rId15" Type="http://schemas.openxmlformats.org/officeDocument/2006/relationships/hyperlink" Target="http://www.jusbrasil.com.br/legislacao/anotada/2686960/art-2-da-lei-9019-95" TargetMode="External"/><Relationship Id="rId23" Type="http://schemas.openxmlformats.org/officeDocument/2006/relationships/hyperlink" Target="http://www.jusbrasil.com.br/legislacao/anotada/2686712/art-4-da-lei-9019-95" TargetMode="External"/><Relationship Id="rId28" Type="http://schemas.openxmlformats.org/officeDocument/2006/relationships/hyperlink" Target="http://www.jusbrasil.com.br/legislacao/anotada/2686682/art-5-da-lei-9019-95" TargetMode="External"/><Relationship Id="rId36" Type="http://schemas.openxmlformats.org/officeDocument/2006/relationships/hyperlink" Target="http://www.jusbrasil.com.br/legislacao/98000/lei-10833-03" TargetMode="External"/><Relationship Id="rId49" Type="http://schemas.openxmlformats.org/officeDocument/2006/relationships/hyperlink" Target="http://www.jusbrasil.com.br/legislacao/98000/lei-10833-03" TargetMode="External"/><Relationship Id="rId57" Type="http://schemas.openxmlformats.org/officeDocument/2006/relationships/hyperlink" Target="http://www.jusbrasil.com.br/legislacao/98000/lei-10833-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3991</Words>
  <Characters>21556</Characters>
  <Application>Microsoft Office Word</Application>
  <DocSecurity>0</DocSecurity>
  <Lines>179</Lines>
  <Paragraphs>50</Paragraphs>
  <ScaleCrop>false</ScaleCrop>
  <Company/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ucj</dc:creator>
  <cp:lastModifiedBy>Umberto</cp:lastModifiedBy>
  <cp:revision>2</cp:revision>
  <dcterms:created xsi:type="dcterms:W3CDTF">2012-08-01T19:58:00Z</dcterms:created>
  <dcterms:modified xsi:type="dcterms:W3CDTF">2012-08-01T19:58:00Z</dcterms:modified>
</cp:coreProperties>
</file>