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8" w:rsidRDefault="007A5ED8" w:rsidP="004861CF">
      <w:pPr>
        <w:spacing w:line="23" w:lineRule="exact"/>
        <w:rPr>
          <w:rFonts w:ascii="Arial"/>
          <w:b/>
          <w:sz w:val="14"/>
        </w:rPr>
      </w:pPr>
    </w:p>
    <w:p w:rsidR="005A6EDA" w:rsidRDefault="00FF1FE8" w:rsidP="004861CF">
      <w:pPr>
        <w:spacing w:line="23" w:lineRule="exact"/>
        <w:rPr>
          <w:rFonts w:ascii="Arial"/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5560060</wp:posOffset>
                </wp:positionH>
                <wp:positionV relativeFrom="margin">
                  <wp:posOffset>36830</wp:posOffset>
                </wp:positionV>
                <wp:extent cx="844550" cy="457835"/>
                <wp:effectExtent l="16510" t="11430" r="43815" b="26035"/>
                <wp:wrapSquare wrapText="bothSides"/>
                <wp:docPr id="5" name="WordArt 90" descr="Vertical estrei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4550" cy="457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FE8" w:rsidRDefault="00FF1FE8" w:rsidP="00FF1F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31/05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0" o:spid="_x0000_s1026" type="#_x0000_t202" alt="Vertical estreita" style="position:absolute;margin-left:437.8pt;margin-top:2.9pt;width:66.5pt;height: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YNEAIAAPUDAAAOAAAAZHJzL2Uyb0RvYy54bWysU01v2zAMvQ/YfxB0X+y0cZcZcYosXXfp&#10;PoCm65mR5FibZWmUEjv/vpTipsV2G3YRLFJ8fO+RXlwPpmUHhV7bruLTSc6Z6oSVuttV/GFz+27O&#10;mQ/QSWhtpyp+VJ5fL9++WfSuVBe2sa1UyAik82XvKt6E4Mos86JRBvzEOtVRsrZoINAVd5lE6And&#10;tNlFnl9lvUXp0ArlPUVvTkm+TPh1rUT4VtdeBdZWnLiFdGI6t/HMlgsodwiu0WKkAf/AwoDuqOkZ&#10;6gYCsD3qv6CMFmi9rcNEWJPZutZCJQ2kZpr/oea+AaeSFjLHu7NN/v/Biq+H78i0rHjBWQeGRvRI&#10;jq4wsA/kl1RekFs/FAYtoGXKB1Q6QPStd76k8ntHAGH4aAeaf/LAuzsrfnnW2XUD3U6tEG3fKJDE&#10;e0pdxnBStzk6apmiGzWET1LTiKYRPnuFf2rmY6dt/8VKKoF9sKnbUKOJzpOXjCgQ6eN5sITIBAXn&#10;s1lRUEZQala8n18WqQOUz8UOffisrGHxo+JIe5PA4XDnQyQD5fOTkVkkc6IVhu0w2rG18kgce9qn&#10;ivvfe0BFevdmbWn9SGSN1oz2xnukHWE3wyOgG3sHIr3e40E9uBcKabXkOCCQPwnKtLSoB5rJLL8s&#10;rkY9ie+Z7gk31nq3Ir9uddISjT0xHbXQbqWa8T+Iy/v6nl69/K3LJwAAAP//AwBQSwMEFAAGAAgA&#10;AAAhADR6/A7cAAAACQEAAA8AAABkcnMvZG93bnJldi54bWxMj81OwzAQhO9IvIO1SNyoXaQ0IcSp&#10;Kn4kDlwo4e7GSxwRr6PYbdK3Z3uC486MZr+ptosfxAmn2AfSsF4pEEhtsD11GprP17sCREyGrBkC&#10;oYYzRtjW11eVKW2Y6QNP+9QJLqFYGg0upbGUMrYOvYmrMCKx9x0mbxKfUyftZGYu94O8V2ojvemJ&#10;Pzgz4pPD9md/9BpSsrv1uXnx8e1reX+enWoz02h9e7PsHkEkXNJfGC74jA41Mx3CkWwUg4YizzYc&#10;1ZDxgouvVMHCQUOeP4CsK/l/Qf0LAAD//wMAUEsBAi0AFAAGAAgAAAAhALaDOJL+AAAA4QEAABMA&#10;AAAAAAAAAAAAAAAAAAAAAFtDb250ZW50X1R5cGVzXS54bWxQSwECLQAUAAYACAAAACEAOP0h/9YA&#10;AACUAQAACwAAAAAAAAAAAAAAAAAvAQAAX3JlbHMvLnJlbHNQSwECLQAUAAYACAAAACEAYIzWDRAC&#10;AAD1AwAADgAAAAAAAAAAAAAAAAAuAgAAZHJzL2Uyb0RvYy54bWxQSwECLQAUAAYACAAAACEANHr8&#10;DtwAAAAJAQAADwAAAAAAAAAAAAAAAABqBAAAZHJzL2Rvd25yZXYueG1sUEsFBgAAAAAEAAQA8wAA&#10;AHMFAAAAAA==&#10;" filled="f" stroked="f">
                <o:lock v:ext="edit" shapetype="t"/>
                <v:textbox style="mso-fit-shape-to-text:t">
                  <w:txbxContent>
                    <w:p w:rsidR="00FF1FE8" w:rsidRDefault="00FF1FE8" w:rsidP="00FF1F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31/05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7B29">
        <w:rPr>
          <w:noProof/>
          <w:lang w:val="pt-BR" w:eastAsia="pt-B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490362</wp:posOffset>
            </wp:positionH>
            <wp:positionV relativeFrom="paragraph">
              <wp:posOffset>128393</wp:posOffset>
            </wp:positionV>
            <wp:extent cx="1194436" cy="4053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36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DC9" w:rsidRDefault="00041DC9" w:rsidP="00041DC9">
      <w:pPr>
        <w:pStyle w:val="Corpodetexto"/>
        <w:spacing w:line="266" w:lineRule="auto"/>
        <w:ind w:left="3395" w:right="-15"/>
        <w:rPr>
          <w:color w:val="444444"/>
          <w:w w:val="105"/>
          <w:lang w:val="pt-BR"/>
        </w:rPr>
      </w:pPr>
    </w:p>
    <w:p w:rsidR="00041DC9" w:rsidRDefault="00041DC9" w:rsidP="00041DC9">
      <w:pPr>
        <w:pStyle w:val="Corpodetexto"/>
        <w:spacing w:before="8"/>
        <w:rPr>
          <w:rFonts w:ascii="Arial"/>
          <w:b/>
        </w:rPr>
      </w:pPr>
    </w:p>
    <w:p w:rsidR="007A5ED8" w:rsidRDefault="007A5ED8" w:rsidP="00041DC9">
      <w:pPr>
        <w:spacing w:before="89" w:line="114" w:lineRule="exact"/>
        <w:ind w:left="435" w:right="91"/>
        <w:rPr>
          <w:rFonts w:ascii="Arial" w:hAnsi="Arial"/>
          <w:color w:val="444444"/>
          <w:w w:val="105"/>
          <w:sz w:val="13"/>
          <w:lang w:val="pt-BR"/>
        </w:rPr>
      </w:pPr>
    </w:p>
    <w:p w:rsidR="007A5ED8" w:rsidRDefault="007A5ED8" w:rsidP="00041DC9">
      <w:pPr>
        <w:spacing w:before="89" w:line="114" w:lineRule="exact"/>
        <w:ind w:left="435" w:right="91"/>
        <w:rPr>
          <w:rFonts w:ascii="Arial" w:hAnsi="Arial"/>
          <w:color w:val="444444"/>
          <w:w w:val="105"/>
          <w:sz w:val="13"/>
          <w:lang w:val="pt-BR"/>
        </w:rPr>
      </w:pPr>
    </w:p>
    <w:p w:rsidR="00041DC9" w:rsidRPr="004861CF" w:rsidRDefault="00041DC9" w:rsidP="00041DC9">
      <w:pPr>
        <w:spacing w:before="89" w:line="114" w:lineRule="exact"/>
        <w:ind w:left="435" w:right="91"/>
        <w:rPr>
          <w:rFonts w:ascii="Arial" w:hAnsi="Arial"/>
          <w:sz w:val="13"/>
          <w:lang w:val="pt-BR"/>
        </w:rPr>
      </w:pPr>
      <w:r w:rsidRPr="004861CF">
        <w:rPr>
          <w:rFonts w:ascii="Arial" w:hAnsi="Arial"/>
          <w:color w:val="444444"/>
          <w:w w:val="105"/>
          <w:sz w:val="13"/>
          <w:lang w:val="pt-BR"/>
        </w:rPr>
        <w:t>31/05/2017 às 05h00</w:t>
      </w:r>
      <w:r w:rsidR="007A5ED8">
        <w:rPr>
          <w:rFonts w:ascii="Arial" w:hAnsi="Arial"/>
          <w:color w:val="444444"/>
          <w:w w:val="105"/>
          <w:sz w:val="13"/>
          <w:lang w:val="pt-BR"/>
        </w:rPr>
        <w:tab/>
      </w:r>
      <w:r w:rsidR="007A5ED8">
        <w:rPr>
          <w:rFonts w:ascii="Arial" w:hAnsi="Arial"/>
          <w:color w:val="444444"/>
          <w:w w:val="105"/>
          <w:sz w:val="13"/>
          <w:lang w:val="pt-BR"/>
        </w:rPr>
        <w:tab/>
      </w:r>
      <w:r w:rsidR="007A5ED8">
        <w:rPr>
          <w:rFonts w:ascii="Arial" w:hAnsi="Arial"/>
          <w:color w:val="444444"/>
          <w:w w:val="105"/>
          <w:sz w:val="13"/>
          <w:lang w:val="pt-BR"/>
        </w:rPr>
        <w:tab/>
      </w:r>
      <w:r w:rsidR="007A5ED8">
        <w:rPr>
          <w:rFonts w:ascii="Arial" w:hAnsi="Arial"/>
          <w:color w:val="444444"/>
          <w:w w:val="105"/>
          <w:sz w:val="13"/>
          <w:lang w:val="pt-BR"/>
        </w:rPr>
        <w:tab/>
      </w:r>
      <w:r w:rsidR="007A5ED8">
        <w:rPr>
          <w:rFonts w:ascii="Arial" w:hAnsi="Arial"/>
          <w:color w:val="444444"/>
          <w:w w:val="105"/>
          <w:sz w:val="13"/>
          <w:lang w:val="pt-BR"/>
        </w:rPr>
        <w:tab/>
      </w:r>
      <w:r w:rsidR="007A5ED8">
        <w:rPr>
          <w:rFonts w:ascii="Arial" w:hAnsi="Arial"/>
          <w:color w:val="444444"/>
          <w:w w:val="105"/>
          <w:sz w:val="13"/>
          <w:lang w:val="pt-BR"/>
        </w:rPr>
        <w:tab/>
      </w:r>
      <w:r w:rsidR="007A5ED8">
        <w:rPr>
          <w:rFonts w:ascii="Arial" w:hAnsi="Arial"/>
          <w:color w:val="444444"/>
          <w:w w:val="105"/>
          <w:sz w:val="13"/>
          <w:lang w:val="pt-BR"/>
        </w:rPr>
        <w:tab/>
      </w:r>
    </w:p>
    <w:p w:rsidR="00041DC9" w:rsidRPr="004861CF" w:rsidRDefault="00041DC9" w:rsidP="00041DC9">
      <w:pPr>
        <w:spacing w:before="69" w:line="172" w:lineRule="auto"/>
        <w:ind w:left="435" w:right="91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4861CF"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>Multimercado</w:t>
      </w:r>
      <w:r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 xml:space="preserve"> </w:t>
      </w:r>
      <w:r w:rsidRPr="004861CF">
        <w:rPr>
          <w:rFonts w:asciiTheme="minorHAnsi" w:hAnsiTheme="minorHAnsi" w:cstheme="minorHAnsi"/>
          <w:b/>
          <w:color w:val="444444"/>
          <w:spacing w:val="-81"/>
          <w:sz w:val="40"/>
          <w:szCs w:val="40"/>
          <w:lang w:val="pt-BR"/>
        </w:rPr>
        <w:t xml:space="preserve"> </w:t>
      </w:r>
      <w:r w:rsidRPr="004861CF"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>mais</w:t>
      </w:r>
      <w:r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 xml:space="preserve"> </w:t>
      </w:r>
      <w:r w:rsidRPr="004861CF">
        <w:rPr>
          <w:rFonts w:asciiTheme="minorHAnsi" w:hAnsiTheme="minorHAnsi" w:cstheme="minorHAnsi"/>
          <w:b/>
          <w:color w:val="444444"/>
          <w:spacing w:val="-81"/>
          <w:sz w:val="40"/>
          <w:szCs w:val="40"/>
          <w:lang w:val="pt-BR"/>
        </w:rPr>
        <w:t xml:space="preserve"> </w:t>
      </w:r>
      <w:r w:rsidRPr="004861CF"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>resistente</w:t>
      </w:r>
      <w:r w:rsidRPr="004861CF">
        <w:rPr>
          <w:rFonts w:asciiTheme="minorHAnsi" w:hAnsiTheme="minorHAnsi" w:cstheme="minorHAnsi"/>
          <w:b/>
          <w:color w:val="444444"/>
          <w:spacing w:val="-81"/>
          <w:sz w:val="40"/>
          <w:szCs w:val="40"/>
          <w:lang w:val="pt-BR"/>
        </w:rPr>
        <w:t xml:space="preserve"> </w:t>
      </w:r>
      <w:r>
        <w:rPr>
          <w:rFonts w:asciiTheme="minorHAnsi" w:hAnsiTheme="minorHAnsi" w:cstheme="minorHAnsi"/>
          <w:b/>
          <w:color w:val="444444"/>
          <w:spacing w:val="-81"/>
          <w:sz w:val="40"/>
          <w:szCs w:val="40"/>
          <w:lang w:val="pt-BR"/>
        </w:rPr>
        <w:t xml:space="preserve"> </w:t>
      </w:r>
      <w:r w:rsidRPr="004861CF"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>a</w:t>
      </w:r>
      <w:r w:rsidRPr="004861CF">
        <w:rPr>
          <w:rFonts w:asciiTheme="minorHAnsi" w:hAnsiTheme="minorHAnsi" w:cstheme="minorHAnsi"/>
          <w:b/>
          <w:color w:val="444444"/>
          <w:spacing w:val="-81"/>
          <w:sz w:val="40"/>
          <w:szCs w:val="40"/>
          <w:lang w:val="pt-BR"/>
        </w:rPr>
        <w:t xml:space="preserve"> </w:t>
      </w:r>
      <w:r>
        <w:rPr>
          <w:rFonts w:asciiTheme="minorHAnsi" w:hAnsiTheme="minorHAnsi" w:cstheme="minorHAnsi"/>
          <w:b/>
          <w:color w:val="444444"/>
          <w:spacing w:val="-81"/>
          <w:sz w:val="40"/>
          <w:szCs w:val="40"/>
          <w:lang w:val="pt-BR"/>
        </w:rPr>
        <w:t xml:space="preserve"> </w:t>
      </w:r>
      <w:r w:rsidRPr="004861CF"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>estresse</w:t>
      </w:r>
      <w:r w:rsidRPr="004861CF">
        <w:rPr>
          <w:rFonts w:asciiTheme="minorHAnsi" w:hAnsiTheme="minorHAnsi" w:cstheme="minorHAnsi"/>
          <w:b/>
          <w:color w:val="444444"/>
          <w:w w:val="91"/>
          <w:sz w:val="40"/>
          <w:szCs w:val="40"/>
          <w:lang w:val="pt-BR"/>
        </w:rPr>
        <w:t xml:space="preserve"> </w:t>
      </w:r>
      <w:r w:rsidRPr="004861CF"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>político</w:t>
      </w:r>
      <w:r w:rsidRPr="004861CF">
        <w:rPr>
          <w:rFonts w:asciiTheme="minorHAnsi" w:hAnsiTheme="minorHAnsi" w:cstheme="minorHAnsi"/>
          <w:b/>
          <w:color w:val="444444"/>
          <w:spacing w:val="-70"/>
          <w:sz w:val="40"/>
          <w:szCs w:val="40"/>
          <w:lang w:val="pt-BR"/>
        </w:rPr>
        <w:t xml:space="preserve"> </w:t>
      </w:r>
      <w:r>
        <w:rPr>
          <w:rFonts w:asciiTheme="minorHAnsi" w:hAnsiTheme="minorHAnsi" w:cstheme="minorHAnsi"/>
          <w:b/>
          <w:color w:val="444444"/>
          <w:spacing w:val="-70"/>
          <w:sz w:val="40"/>
          <w:szCs w:val="40"/>
          <w:lang w:val="pt-BR"/>
        </w:rPr>
        <w:t xml:space="preserve"> </w:t>
      </w:r>
      <w:r w:rsidRPr="004861CF"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>fez</w:t>
      </w:r>
      <w:r w:rsidRPr="004861CF">
        <w:rPr>
          <w:rFonts w:asciiTheme="minorHAnsi" w:hAnsiTheme="minorHAnsi" w:cstheme="minorHAnsi"/>
          <w:b/>
          <w:color w:val="444444"/>
          <w:spacing w:val="-70"/>
          <w:sz w:val="40"/>
          <w:szCs w:val="40"/>
          <w:lang w:val="pt-BR"/>
        </w:rPr>
        <w:t xml:space="preserve"> </w:t>
      </w:r>
      <w:r w:rsidRPr="004861CF">
        <w:rPr>
          <w:rFonts w:asciiTheme="minorHAnsi" w:hAnsiTheme="minorHAnsi" w:cstheme="minorHAnsi"/>
          <w:b/>
          <w:color w:val="444444"/>
          <w:sz w:val="40"/>
          <w:szCs w:val="40"/>
          <w:lang w:val="pt-BR"/>
        </w:rPr>
        <w:t>'hedge'</w:t>
      </w:r>
    </w:p>
    <w:p w:rsidR="00041DC9" w:rsidRPr="004861CF" w:rsidRDefault="00FF1FE8" w:rsidP="00041DC9">
      <w:pPr>
        <w:spacing w:before="282"/>
        <w:ind w:left="435" w:right="91"/>
        <w:rPr>
          <w:rFonts w:ascii="Arial" w:hAnsi="Arial"/>
          <w:b/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104775</wp:posOffset>
                </wp:positionV>
                <wp:extent cx="4076700" cy="0"/>
                <wp:effectExtent l="19685" t="22860" r="18415" b="15240"/>
                <wp:wrapNone/>
                <wp:docPr id="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28912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88960"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pt,8.25pt" to="348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2yFQIAACoEAAAOAAAAZHJzL2Uyb0RvYy54bWysU8GO2jAQvVfqP1i+QxKaQogIq4pAL7SL&#10;tNsPMLZDrDq2ZRsCqvrvHRuC2PZSVVUkZ+yZeX4zb7x4OncSnbh1QqsKZ+MUI66oZkIdKvztdTMq&#10;MHKeKEakVrzCF+7w0/L9u0VvSj7RrZaMWwQgypW9qXDrvSmTxNGWd8SNteEKnI22HfGwtYeEWdID&#10;eieTSZpOk15bZqym3Dk4ra9OvIz4TcOpf24axz2SFQZuPq42rvuwJssFKQ+WmFbQGw3yDyw6IhRc&#10;eoeqiSfoaMUfUJ2gVjvd+DHVXaKbRlAea4BqsvS3al5aYnisBZrjzL1N7v/B0q+nnUWCVTjHSJEO&#10;JNoKxVFRhNb0xpUQsVI7G4qjZ/Vitpp+d0jpVUvUgUeKrxcDeVnISN6khI0zcMG+/6IZxJCj17FP&#10;58Z2ARI6gM5RjstdDn72iMJhns6msxRUo4MvIeWQaKzzn7nuUDAqLIF0BCanrfOBCCmHkHCP0hsh&#10;ZVRbKtRXeFLMs0nMcFoKFrwhztnDfiUtOhEYmDoLXywLPI9hVh8Vi2gtJ2x9sz0R8mrD7VIFPKgF&#10;+Nys60T8mKfzdbEu8lE+ma5HeVrXo0+bVT6abrLZx/pDvVrV2c9ALcvLVjDGVWA3TGeW/536t3dy&#10;nav7fN77kLxFjw0DssM/ko5iBv2uk7DX7LKzg8gwkDH49njCxD/uwX584stfAAAA//8DAFBLAwQU&#10;AAYACAAAACEA+TiV89sAAAAIAQAADwAAAGRycy9kb3ducmV2LnhtbEyPwUrEQBBE74L/MLTgzZ0o&#10;JGrMZBEhooiHXcXzbKZNssn0hPRsNv69LR702K+K6qpivfhBzThxF8jA5SoBhVQH11Fj4P2turgB&#10;xdGSs0MgNPCFDOvy9KSwuQtH2uC8jY2SEOLcGmhjHHOtuW7RW16FEUm0zzB5G+WcGu0me5RwP+ir&#10;JMm0tx3Jh9aO+NBi3W8P3gBXeuz5par3Vdx/PD899vPrpjfm/Gy5vwMVcYl/ZvipL9WhlE67cCDH&#10;ajCQppk4hWcpKNGz22sBu1+gy0L/H1B+AwAA//8DAFBLAQItABQABgAIAAAAIQC2gziS/gAAAOEB&#10;AAATAAAAAAAAAAAAAAAAAAAAAABbQ29udGVudF9UeXBlc10ueG1sUEsBAi0AFAAGAAgAAAAhADj9&#10;If/WAAAAlAEAAAsAAAAAAAAAAAAAAAAALwEAAF9yZWxzLy5yZWxzUEsBAi0AFAAGAAgAAAAhAA+y&#10;rbIVAgAAKgQAAA4AAAAAAAAAAAAAAAAALgIAAGRycy9lMm9Eb2MueG1sUEsBAi0AFAAGAAgAAAAh&#10;APk4lfPbAAAACAEAAA8AAAAAAAAAAAAAAAAAbwQAAGRycy9kb3ducmV2LnhtbFBLBQYAAAAABAAE&#10;APMAAAB3BQAAAAA=&#10;" strokecolor="#d1d1d1" strokeweight=".80311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346710</wp:posOffset>
                </wp:positionV>
                <wp:extent cx="4076700" cy="0"/>
                <wp:effectExtent l="10160" t="7620" r="8890" b="11430"/>
                <wp:wrapNone/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7228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FAA5" id="Line 8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pt,27.3pt" to="348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iQFQIAACk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V+wkiR&#10;DiTaCsXRfBFa0xtXQESldjYUR8/qxWw1/e6Q0lVL1IFHiq8XA3lZyEjepISNM3DBvv+sGcSQo9ex&#10;T+fGdgESOoDOUY7LXQ5+9ojCYZ7OprMUVKODLyHFkGis85+47lAwSiyBdAQmp63zgQgphpBwj9Ib&#10;IWVUWyrUl3g2mcxjgtNSsOAMYc4e9pW06ERgXuosfLEq8DyGWX1ULIK1nLD1zfZEyKsNl0sV8KAU&#10;oHOzrgPxY5Eu1vP1PB/lk+l6lKd1Pfq4qfLRdJPNPtRPdVXV2c9ALcuLVjDGVWA3DGeW/534t2dy&#10;Hav7eN7bkLxFj/0CssM/ko5aBvmug7DX7LKzg8YwjzH49nbCwD/uwX584atfAAAA//8DAFBLAwQU&#10;AAYACAAAACEAlPJwltoAAAAIAQAADwAAAGRycy9kb3ducmV2LnhtbExPQU7DMBC8I/EHa5G4UaeI&#10;BAhxKkDAgVNpEOdNvEmsxHYUu236exZxgNPs7oxmZovNYkdxoDkY7xSsVwkIco3XxnUKPqvXqzsQ&#10;IaLTOHpHCk4UYFOenxWYa390H3TYxU6wiQs5KuhjnHIpQ9OTxbDyEznmWj9bjLzOndQzHtncjvI6&#10;STJp0ThO6HGi556aYbe3Cl7WmL6/nb5abKenutoOphqMUeryYnl8ABFpiX9i+KnP1aHkTrXfOx3E&#10;qCBNM1Yy3jAyn93f8lD/HmRZyP8PlN8AAAD//wMAUEsBAi0AFAAGAAgAAAAhALaDOJL+AAAA4QEA&#10;ABMAAAAAAAAAAAAAAAAAAAAAAFtDb250ZW50X1R5cGVzXS54bWxQSwECLQAUAAYACAAAACEAOP0h&#10;/9YAAACUAQAACwAAAAAAAAAAAAAAAAAvAQAAX3JlbHMvLnJlbHNQSwECLQAUAAYACAAAACEAqqAY&#10;kBUCAAApBAAADgAAAAAAAAAAAAAAAAAuAgAAZHJzL2Uyb0RvYy54bWxQSwECLQAUAAYACAAAACEA&#10;lPJwltoAAAAIAQAADwAAAAAAAAAAAAAAAABvBAAAZHJzL2Rvd25yZXYueG1sUEsFBgAAAAAEAAQA&#10;8wAAAHYFAAAAAA==&#10;" strokecolor="#d1d1d1" strokeweight=".20078mm">
                <w10:wrap anchorx="page"/>
              </v:line>
            </w:pict>
          </mc:Fallback>
        </mc:AlternateContent>
      </w:r>
      <w:r w:rsidR="00041DC9" w:rsidRPr="004861CF">
        <w:rPr>
          <w:rFonts w:ascii="Arial" w:hAnsi="Arial"/>
          <w:color w:val="444444"/>
          <w:w w:val="105"/>
          <w:sz w:val="13"/>
          <w:lang w:val="pt-BR"/>
        </w:rPr>
        <w:t xml:space="preserve">Por </w:t>
      </w:r>
      <w:r w:rsidR="00041DC9" w:rsidRPr="004861CF">
        <w:rPr>
          <w:rFonts w:ascii="Arial" w:hAnsi="Arial"/>
          <w:b/>
          <w:color w:val="444444"/>
          <w:w w:val="105"/>
          <w:sz w:val="13"/>
          <w:lang w:val="pt-BR"/>
        </w:rPr>
        <w:t>Adriana Cotias | De São Paulo</w:t>
      </w:r>
    </w:p>
    <w:p w:rsidR="00041DC9" w:rsidRPr="004861CF" w:rsidRDefault="00041DC9" w:rsidP="00041DC9">
      <w:pPr>
        <w:pStyle w:val="Corpodetexto"/>
        <w:rPr>
          <w:rFonts w:ascii="Arial"/>
          <w:b/>
          <w:sz w:val="14"/>
          <w:lang w:val="pt-BR"/>
        </w:rPr>
      </w:pPr>
    </w:p>
    <w:p w:rsidR="00041DC9" w:rsidRPr="004861CF" w:rsidRDefault="00041DC9" w:rsidP="00041DC9">
      <w:pPr>
        <w:pStyle w:val="Corpodetexto"/>
        <w:tabs>
          <w:tab w:val="left" w:pos="426"/>
        </w:tabs>
        <w:spacing w:before="8"/>
        <w:ind w:left="426"/>
        <w:rPr>
          <w:rFonts w:ascii="Arial"/>
          <w:b/>
          <w:sz w:val="16"/>
          <w:lang w:val="pt-BR"/>
        </w:rPr>
      </w:pPr>
    </w:p>
    <w:p w:rsidR="00041DC9" w:rsidRPr="00041DC9" w:rsidRDefault="00041DC9" w:rsidP="00041DC9">
      <w:pPr>
        <w:pStyle w:val="Corpodetexto"/>
        <w:tabs>
          <w:tab w:val="left" w:pos="426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Alguns multimercados conseguiram atravessar bem o revés que varreu os ativos brasileiros após a divulgação de conteúdo da conversa entre o presidente Michel Temer e o empresário Joesley Batista, do grupo JBS, no dia 17. São fundos que, apesar das escoriações sofridas no dia seguinte ao episódio, ainda conseguem exibir ganhos acima do CDI no ano.</w:t>
      </w:r>
    </w:p>
    <w:p w:rsidR="00041DC9" w:rsidRPr="00041DC9" w:rsidRDefault="00041DC9" w:rsidP="00041DC9">
      <w:pPr>
        <w:pStyle w:val="Corpodetexto"/>
        <w:tabs>
          <w:tab w:val="left" w:pos="426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</w:p>
    <w:p w:rsidR="00041DC9" w:rsidRPr="00041DC9" w:rsidRDefault="00041DC9" w:rsidP="00041DC9">
      <w:pPr>
        <w:pStyle w:val="Corpodetexto"/>
        <w:tabs>
          <w:tab w:val="left" w:pos="426"/>
        </w:tabs>
        <w:spacing w:before="1"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  <w:r w:rsidRPr="00041DC9">
        <w:rPr>
          <w:rFonts w:cstheme="minorHAnsi"/>
          <w:noProof/>
          <w:color w:val="404040" w:themeColor="text1" w:themeTint="BF"/>
          <w:sz w:val="20"/>
          <w:szCs w:val="20"/>
          <w:lang w:val="pt-BR"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340360</wp:posOffset>
            </wp:positionH>
            <wp:positionV relativeFrom="margin">
              <wp:posOffset>2542540</wp:posOffset>
            </wp:positionV>
            <wp:extent cx="2406015" cy="2480310"/>
            <wp:effectExtent l="19050" t="0" r="0" b="0"/>
            <wp:wrapSquare wrapText="bothSides"/>
            <wp:docPr id="55" name="Imagem 55" descr="http://www.valor.com.br/sites/default/files/gn/17/05/arte31fin-101-multi-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valor.com.br/sites/default/files/gn/17/05/arte31fin-101-multi-c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Gestores que tinham gordura a ponto de não entregar todo o resultado do ano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ou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que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já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tinham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realizado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lucro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no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chamado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"kit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Brasil",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com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apostas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no corte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de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juros,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alta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da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bolsa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ou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na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queda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do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dólar,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estão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entre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os</w:t>
      </w:r>
      <w:r w:rsidRPr="00041DC9">
        <w:rPr>
          <w:rFonts w:cstheme="minorHAnsi"/>
          <w:color w:val="404040" w:themeColor="text1" w:themeTint="BF"/>
          <w:spacing w:val="-4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exemplos que</w:t>
      </w:r>
      <w:r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consegu</w:t>
      </w:r>
      <w:bookmarkStart w:id="0" w:name="_GoBack"/>
      <w:bookmarkEnd w:id="0"/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iram</w:t>
      </w:r>
      <w:r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se</w:t>
      </w:r>
      <w:r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defender</w:t>
      </w:r>
      <w:r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de</w:t>
      </w:r>
      <w:r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alguma</w:t>
      </w:r>
      <w:r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forma.</w:t>
      </w:r>
      <w:r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Quem</w:t>
      </w:r>
      <w:r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costuma</w:t>
      </w:r>
      <w:r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montar proteções para a carteira também foi premiado por tal disciplina.</w:t>
      </w:r>
    </w:p>
    <w:p w:rsidR="00041DC9" w:rsidRPr="00041DC9" w:rsidRDefault="00041DC9" w:rsidP="00041DC9">
      <w:pPr>
        <w:pStyle w:val="Corpodetexto"/>
        <w:tabs>
          <w:tab w:val="left" w:pos="426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</w:p>
    <w:p w:rsidR="005A6EDA" w:rsidRPr="00041DC9" w:rsidRDefault="00041DC9" w:rsidP="00041DC9">
      <w:pPr>
        <w:pStyle w:val="Corpodetexto"/>
        <w:tabs>
          <w:tab w:val="left" w:pos="426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Levantamento feito pelo consultor Marcelo D'Agosto, na base de dados da Morningstar, mostra que até 17 de</w:t>
      </w:r>
      <w:r w:rsidRPr="00041DC9">
        <w:rPr>
          <w:rFonts w:cstheme="minorHAnsi"/>
          <w:color w:val="404040" w:themeColor="text1" w:themeTint="BF"/>
          <w:spacing w:val="-26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maio, 82% dos multimercados apresentavam desempenho superior ao CDI. Após o baque do dia 18, só metade deles</w:t>
      </w:r>
      <w:r w:rsidRPr="00041DC9">
        <w:rPr>
          <w:rFonts w:cstheme="minorHAnsi"/>
          <w:color w:val="404040" w:themeColor="text1" w:themeTint="BF"/>
          <w:spacing w:val="-26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passou a ter retorno acima do referencial. O filtro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levou em conta os portfólios com patrimônio a partir de R$ 50 milhões</w:t>
      </w:r>
      <w:r w:rsidR="00D07B29" w:rsidRPr="00041DC9">
        <w:rPr>
          <w:rFonts w:cstheme="minorHAnsi"/>
          <w:color w:val="404040" w:themeColor="text1" w:themeTint="BF"/>
          <w:spacing w:val="-27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e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mais de 50 cotistas.</w:t>
      </w:r>
    </w:p>
    <w:p w:rsidR="005A6EDA" w:rsidRPr="00041DC9" w:rsidRDefault="005A6EDA" w:rsidP="00041DC9">
      <w:pPr>
        <w:pStyle w:val="Corpodetexto"/>
        <w:tabs>
          <w:tab w:val="left" w:pos="426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</w:p>
    <w:p w:rsidR="005A6EDA" w:rsidRPr="00041DC9" w:rsidRDefault="00D07B29" w:rsidP="00041DC9">
      <w:pPr>
        <w:pStyle w:val="Corpodetexto"/>
        <w:tabs>
          <w:tab w:val="left" w:pos="426"/>
          <w:tab w:val="left" w:pos="9923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Na média, os fundos mistos que vinham se destacando apresentavam um ganho médio equivalente a 178% do CDI no ano até 17 de maio e passaram a ter retorno de 129% do CDI depois, até o dia 25. Os que ficaram na ponta de baixo exibiam até então rentabilidade de 147% do CDI, caindo para 73% do referencial após o episódio.</w:t>
      </w:r>
    </w:p>
    <w:p w:rsidR="005A6EDA" w:rsidRPr="00041DC9" w:rsidRDefault="005A6EDA" w:rsidP="00041DC9">
      <w:pPr>
        <w:pStyle w:val="Corpodetexto"/>
        <w:tabs>
          <w:tab w:val="left" w:pos="426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</w:p>
    <w:p w:rsidR="005A6EDA" w:rsidRPr="00041DC9" w:rsidRDefault="00D07B29" w:rsidP="00041DC9">
      <w:pPr>
        <w:pStyle w:val="Corpodetexto"/>
        <w:tabs>
          <w:tab w:val="left" w:pos="426"/>
          <w:tab w:val="left" w:pos="9781"/>
        </w:tabs>
        <w:spacing w:before="1"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Conforme quantifica, na média, os fundos que continuam acima do CDI perderam 2,63% em 18 de maio e recuperaram 40% disso até o dia 25. Já os portfólios que ficaram abaixo do CDI perderam em média 4% no dia 18 e só recuperaram 30% disso depois.</w:t>
      </w:r>
    </w:p>
    <w:p w:rsidR="005A6EDA" w:rsidRPr="00041DC9" w:rsidRDefault="005A6EDA" w:rsidP="00041DC9">
      <w:pPr>
        <w:pStyle w:val="Corpodetexto"/>
        <w:tabs>
          <w:tab w:val="left" w:pos="426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</w:p>
    <w:p w:rsidR="005A6EDA" w:rsidRPr="00041DC9" w:rsidRDefault="00D07B29" w:rsidP="00041DC9">
      <w:pPr>
        <w:pStyle w:val="Corpodetexto"/>
        <w:tabs>
          <w:tab w:val="left" w:pos="426"/>
        </w:tabs>
        <w:spacing w:before="1" w:line="276" w:lineRule="auto"/>
        <w:ind w:left="426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 cabeça dos gestores mudou após o episódio do grampo e o consenso de que as reformas no Brasil iam avançar e o Banco Central acelerar o corte da Selic para até 7,5% ou 8% ao ano murchou, segundo o gestor da Guide Investimentos, Erick Scott Hood, um dos responsáveis pela seleção de fundos da plataforma. A percepção é que a incerteza continua e que um eventual afastamento do presidente Temer pode se alongar por dois ou três meses, até</w:t>
      </w:r>
      <w:r w:rsidR="004861CF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o presidente da Câmara chamar uma eleição indireta para substituí­lo. "Hoje</w:t>
      </w:r>
      <w:r w:rsidR="004861CF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os gestores estão com posições bem menores do que o dia 18; em bolsa </w:t>
      </w:r>
      <w:r w:rsidR="004861CF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foram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diminuídas ou zeradas. Mesmo em juros, em que ainda há consenso para redução da Selic apesar</w:t>
      </w:r>
      <w:r w:rsidR="00FD714C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 de em outro ritmo a exposição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é </w:t>
      </w:r>
      <w:r w:rsidR="00FD714C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m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enor."</w:t>
      </w:r>
    </w:p>
    <w:p w:rsidR="004861CF" w:rsidRPr="00041DC9" w:rsidRDefault="004861CF" w:rsidP="00041DC9">
      <w:pPr>
        <w:pStyle w:val="Corpodetexto"/>
        <w:tabs>
          <w:tab w:val="left" w:pos="426"/>
        </w:tabs>
        <w:spacing w:before="1" w:line="276" w:lineRule="auto"/>
        <w:ind w:left="426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5A6EDA" w:rsidRPr="00041DC9" w:rsidRDefault="00D07B29" w:rsidP="00041DC9">
      <w:pPr>
        <w:pStyle w:val="Corpodetexto"/>
        <w:tabs>
          <w:tab w:val="left" w:pos="426"/>
        </w:tabs>
        <w:spacing w:before="1" w:line="276" w:lineRule="auto"/>
        <w:ind w:left="426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 posição técnica do mercado, muito otimista em Brasil e com baixa volatilidade, também levou a gestora a comprar proteção em dólar e ficar vendida (apostando na baixa) da bolsa. No dia 18, os prejuízos com notas indexadas à inflação e em juros futuros foram compensados nas posições contra o real e ações. "A grande premissa era que juros era o ativo que tinha espaço para andar, e que bolsa e câmbio já estavam bem precificados à melhora que ocorreu", completa o sócio Cláudio Andrade.</w:t>
      </w:r>
    </w:p>
    <w:p w:rsidR="004861CF" w:rsidRPr="00041DC9" w:rsidRDefault="004861CF" w:rsidP="00041DC9">
      <w:pPr>
        <w:pStyle w:val="Corpodetexto"/>
        <w:tabs>
          <w:tab w:val="left" w:pos="426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</w:p>
    <w:p w:rsidR="005A6EDA" w:rsidRPr="00041DC9" w:rsidRDefault="00D07B29" w:rsidP="00041DC9">
      <w:pPr>
        <w:pStyle w:val="Corpodetexto"/>
        <w:tabs>
          <w:tab w:val="left" w:pos="426"/>
          <w:tab w:val="left" w:pos="7443"/>
          <w:tab w:val="left" w:pos="10902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 Mirae também teve apenas</w:t>
      </w:r>
      <w:r w:rsidRPr="00041DC9">
        <w:rPr>
          <w:rFonts w:cstheme="minorHAnsi"/>
          <w:color w:val="404040" w:themeColor="text1" w:themeTint="BF"/>
          <w:spacing w:val="-23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uma</w:t>
      </w:r>
      <w:r w:rsidR="004861CF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pequena desvalorização na cota do dia 18, e 0,31%, no seu multimercado porque</w:t>
      </w:r>
      <w:r w:rsidR="004861CF" w:rsidRPr="00041DC9">
        <w:rPr>
          <w:rFonts w:cstheme="minorHAnsi"/>
          <w:color w:val="404040" w:themeColor="text1" w:themeTint="BF"/>
          <w:sz w:val="20"/>
          <w:szCs w:val="20"/>
          <w:lang w:val="pt-BR"/>
        </w:rPr>
        <w:t xml:space="preserve"> t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inha privilegiando posições em </w:t>
      </w:r>
      <w:r w:rsidRPr="00FD714C">
        <w:rPr>
          <w:rFonts w:cstheme="minorHAnsi"/>
          <w:b/>
          <w:color w:val="404040" w:themeColor="text1" w:themeTint="BF"/>
          <w:w w:val="105"/>
          <w:sz w:val="20"/>
          <w:szCs w:val="20"/>
          <w:lang w:val="pt-BR"/>
        </w:rPr>
        <w:t>juro real e em NTN­B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, em detrimento dos juros nominais. Segundo o gestor André Pimentel, a gestora tinha feito travas</w:t>
      </w:r>
      <w:r w:rsidRPr="00041DC9">
        <w:rPr>
          <w:rFonts w:cstheme="minorHAnsi"/>
          <w:color w:val="404040" w:themeColor="text1" w:themeTint="BF"/>
          <w:spacing w:val="-27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com inflação implícita ficando "vendido" (apostando na desvalorização de preços</w:t>
      </w:r>
      <w:r w:rsidRPr="00041DC9">
        <w:rPr>
          <w:rFonts w:cstheme="minorHAnsi"/>
          <w:color w:val="404040" w:themeColor="text1" w:themeTint="BF"/>
          <w:spacing w:val="-26"/>
          <w:w w:val="105"/>
          <w:sz w:val="20"/>
          <w:szCs w:val="20"/>
          <w:lang w:val="pt-BR"/>
        </w:rPr>
        <w:t xml:space="preserve">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e</w:t>
      </w:r>
    </w:p>
    <w:p w:rsidR="005A6EDA" w:rsidRPr="00041DC9" w:rsidRDefault="00D07B29" w:rsidP="00041DC9">
      <w:pPr>
        <w:pStyle w:val="Corpodetexto"/>
        <w:tabs>
          <w:tab w:val="left" w:pos="426"/>
        </w:tabs>
        <w:spacing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alta das taxas) em prefixados. "Nosso 'call' era se preparar para o que não conseguia enxergar", diz. Posições em moedas que não tinham nenhuma relação com o real também serviram para amortecer a queda.</w:t>
      </w:r>
    </w:p>
    <w:p w:rsidR="005A6EDA" w:rsidRPr="00041DC9" w:rsidRDefault="00FD714C" w:rsidP="00041DC9">
      <w:pPr>
        <w:pStyle w:val="Corpodetexto"/>
        <w:tabs>
          <w:tab w:val="left" w:pos="426"/>
        </w:tabs>
        <w:spacing w:before="1" w:line="276" w:lineRule="auto"/>
        <w:ind w:left="426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  <w:r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lastRenderedPageBreak/>
        <w:t>Co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ncretamente, conta o gestor, não havia nada no radar, mas a situação geopolítica, a baixa volatilidade dos ativos mundiais e a precificação de risco</w:t>
      </w:r>
      <w:r w:rsidR="004861CF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relativamente</w:t>
      </w:r>
      <w:r w:rsidR="00D07B29"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otimista</w:t>
      </w:r>
      <w:r w:rsidR="00D07B29"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localmente</w:t>
      </w:r>
      <w:r w:rsidR="00D07B29"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o</w:t>
      </w:r>
      <w:r w:rsidR="00D07B29"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levaram</w:t>
      </w:r>
      <w:r w:rsidR="00D07B29"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</w:t>
      </w:r>
      <w:r w:rsidR="00D07B29"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ter</w:t>
      </w:r>
      <w:r w:rsidR="00D07B29"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uma</w:t>
      </w:r>
      <w:r w:rsidR="00D07B29"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postura</w:t>
      </w:r>
      <w:r w:rsidR="00D07B29" w:rsidRPr="00041DC9">
        <w:rPr>
          <w:rFonts w:cstheme="minorHAnsi"/>
          <w:color w:val="404040" w:themeColor="text1" w:themeTint="BF"/>
          <w:spacing w:val="-5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mai</w:t>
      </w:r>
      <w:r w:rsidR="004861CF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s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diligente. "Estava barato ficar</w:t>
      </w:r>
      <w:r w:rsidR="00D07B29" w:rsidRPr="00041DC9">
        <w:rPr>
          <w:rFonts w:cstheme="minorHAnsi"/>
          <w:color w:val="404040" w:themeColor="text1" w:themeTint="BF"/>
          <w:spacing w:val="-26"/>
          <w:w w:val="105"/>
          <w:sz w:val="20"/>
          <w:szCs w:val="20"/>
          <w:lang w:val="pt-BR"/>
        </w:rPr>
        <w:t xml:space="preserve"> </w:t>
      </w:r>
      <w:r w:rsidR="00D07B2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hedgeado."</w:t>
      </w:r>
    </w:p>
    <w:p w:rsidR="005A6EDA" w:rsidRPr="00041DC9" w:rsidRDefault="00FD714C" w:rsidP="00041DC9">
      <w:pPr>
        <w:spacing w:before="62" w:line="276" w:lineRule="auto"/>
        <w:ind w:left="709" w:right="725"/>
        <w:rPr>
          <w:rFonts w:cstheme="minorHAnsi"/>
          <w:color w:val="404040" w:themeColor="text1" w:themeTint="BF"/>
          <w:sz w:val="20"/>
          <w:szCs w:val="20"/>
          <w:lang w:val="pt-BR"/>
        </w:rPr>
      </w:pPr>
      <w:r>
        <w:rPr>
          <w:rFonts w:cstheme="minorHAnsi"/>
          <w:noProof/>
          <w:color w:val="404040" w:themeColor="text1" w:themeTint="BF"/>
          <w:sz w:val="20"/>
          <w:szCs w:val="20"/>
          <w:lang w:val="pt-BR"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2670175</wp:posOffset>
            </wp:positionH>
            <wp:positionV relativeFrom="margin">
              <wp:posOffset>168275</wp:posOffset>
            </wp:positionV>
            <wp:extent cx="3964305" cy="2472690"/>
            <wp:effectExtent l="19050" t="0" r="0" b="0"/>
            <wp:wrapSquare wrapText="bothSides"/>
            <wp:docPr id="58" name="Imagem 58" descr="http://www.valor.com.br/sites/default/files/gn/17/05/arte31fin-102-multi-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valor.com.br/sites/default/files/gn/17/05/arte31fin-102-multi-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EDA" w:rsidRPr="00041DC9" w:rsidRDefault="005A6EDA" w:rsidP="00041DC9">
      <w:pPr>
        <w:spacing w:line="276" w:lineRule="auto"/>
        <w:ind w:left="709" w:right="725"/>
        <w:rPr>
          <w:rFonts w:cstheme="minorHAnsi"/>
          <w:color w:val="404040" w:themeColor="text1" w:themeTint="BF"/>
          <w:sz w:val="20"/>
          <w:szCs w:val="20"/>
          <w:lang w:val="pt-BR"/>
        </w:rPr>
        <w:sectPr w:rsidR="005A6EDA" w:rsidRPr="00041DC9" w:rsidSect="004861CF">
          <w:type w:val="continuous"/>
          <w:pgSz w:w="11880" w:h="16820"/>
          <w:pgMar w:top="260" w:right="440" w:bottom="0" w:left="420" w:header="720" w:footer="720" w:gutter="0"/>
          <w:cols w:space="720"/>
        </w:sectPr>
      </w:pPr>
    </w:p>
    <w:p w:rsidR="00041DC9" w:rsidRPr="00041DC9" w:rsidRDefault="00041DC9" w:rsidP="00041DC9">
      <w:pPr>
        <w:pStyle w:val="Corpodetexto"/>
        <w:spacing w:before="23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No caso da ARX Investimentos, cujo ARX Extra perdeu 1,17% no dia 18, mas ainda exibe ganhos de quase 200% do CDI no ano, as posições também refletiam uma postura mais cautelosa, dada a magnitude do movimento de redução das taxas futuras ocorrida nas semanas anteriores. "Apesar de ainda acreditarmos numa queda expressiva das taxas de juros, decidimos manter o fundo com pouca exposição dado o baixo prêmio nos mercados e a grande assimetria envolvendo os riscos de alteração ou postergação na votação da reforma da Previdência", descreveu Roberto Benisti, gestor das estratégias macro dos multimercados da casa. </w:t>
      </w:r>
    </w:p>
    <w:p w:rsidR="00041DC9" w:rsidRPr="00041DC9" w:rsidRDefault="00041DC9" w:rsidP="00041DC9">
      <w:pPr>
        <w:pStyle w:val="Corpodetexto"/>
        <w:spacing w:before="23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5A6EDA" w:rsidRDefault="00041DC9" w:rsidP="00041DC9">
      <w:pPr>
        <w:pStyle w:val="Corpodetexto"/>
        <w:spacing w:before="23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O fundo amanheceu no dia 18 com uma pequena posição aplicada em juros com vencimento em 2018 e em opções que previam uma aceleração de corte da Selic no Copom desta semana. Tinha contrabalançado esse tipo de risco comprando </w:t>
      </w:r>
      <w:r w:rsidRPr="00041DC9">
        <w:rPr>
          <w:rFonts w:cstheme="minorHAnsi"/>
          <w:b/>
          <w:color w:val="404040" w:themeColor="text1" w:themeTint="BF"/>
          <w:w w:val="105"/>
          <w:sz w:val="20"/>
          <w:szCs w:val="20"/>
          <w:lang w:val="pt-BR"/>
        </w:rPr>
        <w:t>inflação implícita longa via derivativos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, "que foi efetiva no objetivo de amortecer o fundo contra possíveis perdas".</w:t>
      </w:r>
    </w:p>
    <w:p w:rsidR="00FD714C" w:rsidRPr="00041DC9" w:rsidRDefault="00FD714C" w:rsidP="00041DC9">
      <w:pPr>
        <w:pStyle w:val="Corpodetexto"/>
        <w:spacing w:before="23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041DC9" w:rsidRPr="00041DC9" w:rsidRDefault="00041DC9" w:rsidP="00041DC9">
      <w:pPr>
        <w:pStyle w:val="Corpodetexto"/>
        <w:spacing w:before="23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041DC9" w:rsidRPr="00041DC9" w:rsidRDefault="00D07B29" w:rsidP="00041DC9">
      <w:pPr>
        <w:pStyle w:val="Corpodetexto"/>
        <w:spacing w:before="1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 Claritas passou os cinco dias antes do fatídico 18 de maio reduzindo as</w:t>
      </w:r>
      <w:r w:rsidR="00041DC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 posições como um todo por acreditar que os ativos já estavam próximos </w:t>
      </w:r>
      <w:r w:rsid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do</w:t>
      </w:r>
      <w:r w:rsidR="00041DC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valor justo no curto prazo, conta o gestor Damont Carvalho. Havia convicção e que a Selic terminaria o ano entre 8,5% e 9%, mas o mercado já embutia</w:t>
      </w:r>
      <w:r w:rsid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 </w:t>
      </w:r>
      <w:r w:rsidR="00041DC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isso nos preços ao mesmo tempo em que o avanço fiscal ainda era uma dúvida. A escolha foi aplicar em juros nos vencimentos mais </w:t>
      </w:r>
      <w:r w:rsid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c</w:t>
      </w:r>
      <w:r w:rsidR="00041DC9"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urtos, apostando na continuidade do ciclo de alívio monetário, mas ao mesmo tempo fazer hedge nas posições mais longas.</w:t>
      </w:r>
    </w:p>
    <w:p w:rsidR="00041DC9" w:rsidRPr="00041DC9" w:rsidRDefault="00041DC9" w:rsidP="00041DC9">
      <w:pPr>
        <w:pStyle w:val="Corpodetexto"/>
        <w:spacing w:line="276" w:lineRule="auto"/>
        <w:ind w:left="851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041DC9" w:rsidRPr="00041DC9" w:rsidRDefault="00041DC9" w:rsidP="00041DC9">
      <w:pPr>
        <w:pStyle w:val="Corpodetexto"/>
        <w:spacing w:before="1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"Houve uma piora consistente nos dados fiscais de arrecadação e a expectativa de passar a reforma [da Previdência] já estava relativamente bem precificada."</w:t>
      </w:r>
    </w:p>
    <w:p w:rsidR="00041DC9" w:rsidRPr="00041DC9" w:rsidRDefault="00041DC9" w:rsidP="00041DC9">
      <w:pPr>
        <w:pStyle w:val="Corpodetexto"/>
        <w:spacing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041DC9" w:rsidRPr="00041DC9" w:rsidRDefault="00041DC9" w:rsidP="00041DC9">
      <w:pPr>
        <w:pStyle w:val="Corpodetexto"/>
        <w:spacing w:before="1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O cenário externo pior na véspera do dia 18, com os mercados globais aumentando as fichas num eventual impeachment do presidente Donald Trump, nos EUA, também levou o gestor a realizar lucro nas posições em bolsa. "A gente acabou sofrendo, mas menos que todo mundo quando o mercado explodiu porque estava mais leve." O resultado foi que o fundo, que rodava com retorno superior a 1 ponto percentual do CDI no mês, passou a ficar negativo quando apurou cota negativa de 1,68% naquela data. No ano, a carteira ainda rende 164% do referencial.</w:t>
      </w:r>
    </w:p>
    <w:p w:rsidR="00FD714C" w:rsidRDefault="00041DC9" w:rsidP="00041DC9">
      <w:pPr>
        <w:pStyle w:val="Corpodetexto"/>
        <w:spacing w:before="154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Entre as gestoras ligadas a bancos também há quem venha exibindo boa performance, apesar do tropeço recente. Foi o caso do Bram Prime FIC FIC que compra cotas de um multimercado de volatilidade moderada que vinha reduzindo, ao longo de abril e maio, as posições mais ganhandoras em renda fixa, conta o executivo-chefe de investimentos da Bradesco Asset Management (Bram) Ricardo Almeida. O portfólio chegou ao dia do caos com metade do risco que tinha na fase mais otimista do mercado, entre janeiro e março, e fez algumas posições de hedge que ajudaram no período mais problemático. "No dia 18, o fundo teve queda maior do que estávamos acostumados, a volatilidade não permitiu que os preços se assentassem, mas não precisei agir ali no calor da situação."</w:t>
      </w:r>
    </w:p>
    <w:p w:rsidR="00FD714C" w:rsidRDefault="00FD714C" w:rsidP="00041DC9">
      <w:pPr>
        <w:pStyle w:val="Corpodetexto"/>
        <w:spacing w:before="154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253855" w:rsidRDefault="00FD714C" w:rsidP="00041DC9">
      <w:pPr>
        <w:pStyle w:val="Corpodetexto"/>
        <w:spacing w:before="154" w:line="276" w:lineRule="auto"/>
        <w:ind w:left="709" w:right="725"/>
        <w:rPr>
          <w:rFonts w:cstheme="minorHAnsi"/>
          <w:b/>
          <w:color w:val="404040" w:themeColor="text1" w:themeTint="BF"/>
          <w:w w:val="105"/>
          <w:sz w:val="20"/>
          <w:szCs w:val="20"/>
          <w:lang w:val="pt-BR"/>
        </w:rPr>
      </w:pPr>
      <w:r w:rsidRPr="00FD714C">
        <w:rPr>
          <w:rFonts w:cstheme="minorHAnsi"/>
          <w:b/>
          <w:color w:val="404040" w:themeColor="text1" w:themeTint="BF"/>
          <w:w w:val="105"/>
          <w:sz w:val="20"/>
          <w:szCs w:val="20"/>
          <w:lang w:val="pt-BR"/>
        </w:rPr>
        <w:t xml:space="preserve">PERGUNTA: </w:t>
      </w:r>
      <w:r w:rsidR="007A5ED8">
        <w:rPr>
          <w:rFonts w:cstheme="minorHAnsi"/>
          <w:b/>
          <w:color w:val="404040" w:themeColor="text1" w:themeTint="BF"/>
          <w:w w:val="105"/>
          <w:sz w:val="20"/>
          <w:szCs w:val="20"/>
          <w:lang w:val="pt-BR"/>
        </w:rPr>
        <w:t>O que consiste uma NTN-B? O que mudou na cabeça dos gestores após o evento político do dia 18/05? Por fim, de acordo com a notícia e também seus conhecimentos pessoais, o que é e como é feito um hedge?</w:t>
      </w:r>
    </w:p>
    <w:p w:rsidR="00253855" w:rsidRDefault="00253855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  <w:r>
        <w:rPr>
          <w:rFonts w:cstheme="minorHAnsi"/>
          <w:b/>
          <w:color w:val="444444"/>
          <w:w w:val="105"/>
          <w:sz w:val="20"/>
          <w:szCs w:val="20"/>
          <w:lang w:val="pt-BR"/>
        </w:rPr>
        <w:t xml:space="preserve">Link: </w:t>
      </w:r>
      <w:hyperlink r:id="rId9" w:history="1">
        <w:r w:rsidRPr="00BA31DA">
          <w:rPr>
            <w:rStyle w:val="Hyperlink"/>
            <w:rFonts w:cstheme="minorHAnsi"/>
            <w:b/>
            <w:w w:val="105"/>
            <w:sz w:val="20"/>
            <w:szCs w:val="20"/>
            <w:lang w:val="pt-BR"/>
          </w:rPr>
          <w:t>http://www.valor.com.br/financas/4986656/multimercado-mais-resistente-estresse-politico-fez-hedge</w:t>
        </w:r>
      </w:hyperlink>
    </w:p>
    <w:p w:rsidR="00C91F6E" w:rsidRDefault="00253855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  <w:r>
        <w:rPr>
          <w:rFonts w:cstheme="minorHAnsi"/>
          <w:b/>
          <w:color w:val="444444"/>
          <w:w w:val="105"/>
          <w:sz w:val="20"/>
          <w:szCs w:val="20"/>
          <w:lang w:val="pt-BR"/>
        </w:rPr>
        <w:t xml:space="preserve">Alunos: Luiz Felipe Guarnieri (8014841) e </w:t>
      </w:r>
      <w:r w:rsidR="00C91F6E">
        <w:rPr>
          <w:rFonts w:cstheme="minorHAnsi"/>
          <w:b/>
          <w:color w:val="444444"/>
          <w:w w:val="105"/>
          <w:sz w:val="20"/>
          <w:szCs w:val="20"/>
          <w:lang w:val="pt-BR"/>
        </w:rPr>
        <w:t>Joã</w:t>
      </w:r>
      <w:r w:rsidR="00C91F6E" w:rsidRPr="00C91F6E">
        <w:rPr>
          <w:rFonts w:cstheme="minorHAnsi"/>
          <w:b/>
          <w:color w:val="444444"/>
          <w:w w:val="105"/>
          <w:sz w:val="20"/>
          <w:szCs w:val="20"/>
          <w:lang w:val="pt-BR"/>
        </w:rPr>
        <w:t xml:space="preserve">o </w:t>
      </w:r>
      <w:r w:rsidR="00C91F6E">
        <w:rPr>
          <w:rFonts w:cstheme="minorHAnsi"/>
          <w:b/>
          <w:color w:val="444444"/>
          <w:w w:val="105"/>
          <w:sz w:val="20"/>
          <w:szCs w:val="20"/>
          <w:lang w:val="pt-BR"/>
        </w:rPr>
        <w:t>P</w:t>
      </w:r>
      <w:r w:rsidR="00C91F6E" w:rsidRPr="00C91F6E">
        <w:rPr>
          <w:rFonts w:cstheme="minorHAnsi"/>
          <w:b/>
          <w:color w:val="444444"/>
          <w:w w:val="105"/>
          <w:sz w:val="20"/>
          <w:szCs w:val="20"/>
          <w:lang w:val="pt-BR"/>
        </w:rPr>
        <w:t xml:space="preserve">edro </w:t>
      </w:r>
      <w:r w:rsidR="00C91F6E">
        <w:rPr>
          <w:rFonts w:cstheme="minorHAnsi"/>
          <w:b/>
          <w:color w:val="444444"/>
          <w:w w:val="105"/>
          <w:sz w:val="20"/>
          <w:szCs w:val="20"/>
          <w:lang w:val="pt-BR"/>
        </w:rPr>
        <w:t>M</w:t>
      </w:r>
      <w:r w:rsidR="00C91F6E" w:rsidRPr="00C91F6E">
        <w:rPr>
          <w:rFonts w:cstheme="minorHAnsi"/>
          <w:b/>
          <w:color w:val="444444"/>
          <w:w w:val="105"/>
          <w:sz w:val="20"/>
          <w:szCs w:val="20"/>
          <w:lang w:val="pt-BR"/>
        </w:rPr>
        <w:t xml:space="preserve">achado de </w:t>
      </w:r>
      <w:r w:rsidR="00C91F6E">
        <w:rPr>
          <w:rFonts w:cstheme="minorHAnsi"/>
          <w:b/>
          <w:color w:val="444444"/>
          <w:w w:val="105"/>
          <w:sz w:val="20"/>
          <w:szCs w:val="20"/>
          <w:lang w:val="pt-BR"/>
        </w:rPr>
        <w:t>O</w:t>
      </w:r>
      <w:r w:rsidR="00C91F6E" w:rsidRPr="00C91F6E">
        <w:rPr>
          <w:rFonts w:cstheme="minorHAnsi"/>
          <w:b/>
          <w:color w:val="444444"/>
          <w:w w:val="105"/>
          <w:sz w:val="20"/>
          <w:szCs w:val="20"/>
          <w:lang w:val="pt-BR"/>
        </w:rPr>
        <w:t>liveira</w:t>
      </w:r>
      <w:r w:rsidR="00C91F6E">
        <w:rPr>
          <w:rFonts w:cstheme="minorHAnsi"/>
          <w:b/>
          <w:color w:val="444444"/>
          <w:w w:val="105"/>
          <w:sz w:val="20"/>
          <w:szCs w:val="20"/>
          <w:lang w:val="pt-BR"/>
        </w:rPr>
        <w:t xml:space="preserve"> </w:t>
      </w:r>
      <w:r>
        <w:rPr>
          <w:rFonts w:cstheme="minorHAnsi"/>
          <w:b/>
          <w:color w:val="444444"/>
          <w:w w:val="105"/>
          <w:sz w:val="20"/>
          <w:szCs w:val="20"/>
          <w:lang w:val="pt-BR"/>
        </w:rPr>
        <w:t>(</w:t>
      </w:r>
      <w:r w:rsidRPr="00253855">
        <w:rPr>
          <w:rFonts w:cstheme="minorHAnsi"/>
          <w:b/>
          <w:color w:val="444444"/>
          <w:w w:val="105"/>
          <w:sz w:val="20"/>
          <w:szCs w:val="20"/>
          <w:lang w:val="pt-BR"/>
        </w:rPr>
        <w:t>9895089)</w:t>
      </w: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  <w:r>
        <w:rPr>
          <w:rFonts w:cstheme="minorHAnsi"/>
          <w:b/>
          <w:color w:val="444444"/>
          <w:w w:val="105"/>
          <w:sz w:val="20"/>
          <w:szCs w:val="20"/>
          <w:lang w:val="pt-BR"/>
        </w:rPr>
        <w:t xml:space="preserve">RESPOSTA: </w:t>
      </w: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Pr="00C91F6E" w:rsidRDefault="00C91F6E" w:rsidP="00C91F6E">
      <w:pPr>
        <w:pStyle w:val="Corpodetexto"/>
        <w:numPr>
          <w:ilvl w:val="0"/>
          <w:numId w:val="1"/>
        </w:numPr>
        <w:spacing w:before="154" w:line="276" w:lineRule="auto"/>
        <w:ind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C91F6E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O Tesouro IPCA+ (NTN-B) é um título pós-fixado, cuja rentabilidade é composta por uma taxa anual pactuada no momento da compra mais a variação do IPCA (Índice de Preços ao Consumidor Amplo), índice de inflação oficial do governo brasileiro, calculado pelo IBGE (Instituto Brasileiro de Geografia e Estatística). Esse título não possui fluxos periódicos de pagamento ao investidor (cupom semestral de juros). A figura abaixo ilustra o fluxo de pagamentos do Tesouro IPCA+ (NTN-B Principal):</w:t>
      </w:r>
    </w:p>
    <w:p w:rsidR="00041DC9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  <w:r>
        <w:rPr>
          <w:rFonts w:cstheme="minorHAnsi"/>
          <w:b/>
          <w:noProof/>
          <w:color w:val="444444"/>
          <w:sz w:val="20"/>
          <w:szCs w:val="20"/>
          <w:lang w:val="pt-BR"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1087755</wp:posOffset>
            </wp:positionH>
            <wp:positionV relativeFrom="margin">
              <wp:posOffset>1718945</wp:posOffset>
            </wp:positionV>
            <wp:extent cx="4878705" cy="2472690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DC9" w:rsidRPr="00FD714C">
        <w:rPr>
          <w:rFonts w:cstheme="minorHAnsi"/>
          <w:b/>
          <w:color w:val="444444"/>
          <w:w w:val="105"/>
          <w:sz w:val="20"/>
          <w:szCs w:val="20"/>
          <w:lang w:val="pt-BR"/>
        </w:rPr>
        <w:br/>
      </w: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b/>
          <w:color w:val="444444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C91F6E" w:rsidRDefault="00C91F6E" w:rsidP="001E742D">
      <w:pPr>
        <w:pStyle w:val="Corpodetexto"/>
        <w:spacing w:before="154" w:line="276" w:lineRule="auto"/>
        <w:ind w:left="1134" w:right="1008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C91F6E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Sua </w:t>
      </w:r>
      <w:r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ren</w:t>
      </w:r>
      <w:r w:rsidRPr="00C91F6E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tabilidade é dada pela taxa anual de juros, que determina sua cotação, mais a variação do indexador até o vencimento, que altera o valor de seu VNA (Valor Nominal Atualizado). É um título escritural, nominativo e negociável. Na data de vencimento do título ocorre o resgate do principal investido, corrigido tanto pela taxa pactuada no momento da compra quanto pela variação do IPCA no período.</w:t>
      </w:r>
    </w:p>
    <w:p w:rsidR="00C91F6E" w:rsidRDefault="00C91F6E" w:rsidP="001E742D">
      <w:pPr>
        <w:pStyle w:val="Corpodetexto"/>
        <w:spacing w:before="154" w:line="276" w:lineRule="auto"/>
        <w:ind w:left="1134" w:right="1008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Fonte: Tesouro Nacional</w:t>
      </w:r>
    </w:p>
    <w:p w:rsidR="00C91F6E" w:rsidRDefault="00C91F6E" w:rsidP="001E742D">
      <w:pPr>
        <w:pStyle w:val="Corpodetexto"/>
        <w:spacing w:before="154" w:line="276" w:lineRule="auto"/>
        <w:ind w:left="1134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C91F6E" w:rsidRDefault="00C91F6E" w:rsidP="001E742D">
      <w:pPr>
        <w:pStyle w:val="Corpodetexto"/>
        <w:numPr>
          <w:ilvl w:val="0"/>
          <w:numId w:val="1"/>
        </w:numPr>
        <w:spacing w:before="1" w:line="276" w:lineRule="auto"/>
        <w:ind w:left="1134" w:right="1008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A cabeça dos gestores mudou após o episódio do grampo e o consenso de que as reformas no Brasil iam avançar e o Banco Central acelerar o corte da Selic para até 7,5% ou 8% ao ano murchou, segundo o gestor da Guide Investimentos, Erick Scott Hood, um dos responsáveis pela seleção de fundos da plataforma. A percepção é que a incerteza continua e que um eventual afastamento do presidente Temer pode se alongar por dois ou três meses, até o presidente da Câmara chamar uma eleição indireta para substituí­lo. "Hoje os gestores estão com posições bem menores do que o dia 18; em bolsa foram diminuídas ou zeradas. Mesmo em juros, em que ainda há consenso para redução da Selic apesar</w:t>
      </w:r>
      <w:r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 de em outro ritmo a exposição 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 xml:space="preserve">é </w:t>
      </w:r>
      <w:r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m</w:t>
      </w:r>
      <w:r w:rsidRPr="00041DC9"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t>enor."</w:t>
      </w:r>
      <w:r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  <w:br/>
      </w:r>
    </w:p>
    <w:p w:rsidR="00C91F6E" w:rsidRDefault="00C91F6E" w:rsidP="001E74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0" w:afterAutospacing="0"/>
        <w:ind w:left="1134" w:right="1008"/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</w:pPr>
      <w:r w:rsidRPr="00C91F6E">
        <w:rPr>
          <w:rFonts w:ascii="Georgia" w:eastAsia="Georgia" w:hAnsi="Georgia" w:cstheme="minorHAnsi"/>
          <w:b/>
          <w:bCs/>
          <w:color w:val="404040" w:themeColor="text1" w:themeTint="BF"/>
          <w:w w:val="105"/>
          <w:sz w:val="20"/>
          <w:szCs w:val="20"/>
          <w:lang w:eastAsia="en-US"/>
        </w:rPr>
        <w:t xml:space="preserve">Hedge significa proteção. </w:t>
      </w:r>
      <w:r w:rsidRPr="00C91F6E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>Grandes empresas e investidores utilizam estratégias de hedge para minimizar riscos.</w:t>
      </w:r>
      <w:r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 xml:space="preserve"> </w:t>
      </w:r>
      <w:r w:rsidRPr="00C91F6E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>O gerenciamento de risco é um dos conceitos mais importantes para crescer de forma sustentável.</w:t>
      </w:r>
    </w:p>
    <w:p w:rsidR="00C91F6E" w:rsidRDefault="00C91F6E" w:rsidP="001E742D">
      <w:pPr>
        <w:pStyle w:val="NormalWeb"/>
        <w:shd w:val="clear" w:color="auto" w:fill="FFFFFF"/>
        <w:spacing w:before="0" w:beforeAutospacing="0" w:after="250" w:afterAutospacing="0"/>
        <w:ind w:left="1134" w:right="1008"/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</w:pPr>
      <w:r w:rsidRPr="00C91F6E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>As operações de hedge são realizadas por empresas e investidores que desejam se proteger dos riscos das oscilações de preços.</w:t>
      </w:r>
    </w:p>
    <w:p w:rsidR="001E742D" w:rsidRPr="001E742D" w:rsidRDefault="00C91F6E" w:rsidP="001E742D">
      <w:pPr>
        <w:pStyle w:val="NormalWeb"/>
        <w:shd w:val="clear" w:color="auto" w:fill="FFFFFF"/>
        <w:spacing w:before="0" w:beforeAutospacing="0" w:after="250" w:afterAutospacing="0"/>
        <w:ind w:left="1134" w:right="1008"/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</w:pPr>
      <w:r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>Um exemplo de Hedge pode ser um Fundo de Ações que compra Dólar para proteger seu portfólio.</w:t>
      </w:r>
      <w:r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br/>
      </w:r>
      <w:r w:rsidRPr="00C91F6E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>Dentre os ativos cambiais</w:t>
      </w:r>
      <w:r w:rsidR="001E742D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 xml:space="preserve"> (moedas)</w:t>
      </w:r>
      <w:r w:rsidRPr="00C91F6E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>, o dólar é o que apresenta a menor correlação com o Ibovespa, de </w:t>
      </w:r>
      <w:r w:rsidRPr="00C91F6E">
        <w:rPr>
          <w:rFonts w:ascii="Georgia" w:eastAsia="Georgia" w:hAnsi="Georgia" w:cstheme="minorHAnsi"/>
          <w:b/>
          <w:bCs/>
          <w:color w:val="404040" w:themeColor="text1" w:themeTint="BF"/>
          <w:w w:val="105"/>
          <w:sz w:val="20"/>
          <w:szCs w:val="20"/>
          <w:lang w:eastAsia="en-US"/>
        </w:rPr>
        <w:t>-62,44% (ou 0,6244)</w:t>
      </w:r>
      <w:r w:rsidRPr="00C91F6E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>.</w:t>
      </w:r>
      <w:r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 xml:space="preserve"> </w:t>
      </w:r>
      <w:r w:rsidRPr="00C91F6E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>Para facilitar essa comparação,</w:t>
      </w:r>
      <w:r w:rsidR="001E742D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 xml:space="preserve"> historicamente</w:t>
      </w:r>
      <w:r w:rsidR="001E742D" w:rsidRPr="001E742D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 xml:space="preserve"> o retorno desses ativos</w:t>
      </w:r>
      <w:r w:rsidR="001E742D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 xml:space="preserve"> são claramente</w:t>
      </w:r>
      <w:r w:rsidR="001E742D" w:rsidRPr="001E742D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 xml:space="preserve"> divergentes, ou seja, enquanto um subia o outro caia.</w:t>
      </w:r>
      <w:r w:rsidR="001E742D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 xml:space="preserve"> </w:t>
      </w:r>
      <w:r w:rsidR="001E742D" w:rsidRPr="001E742D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 xml:space="preserve">Por esse motivo, a correlação entre eles </w:t>
      </w:r>
      <w:r w:rsidR="001E742D"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  <w:t>é tão baixa e serve de excelente instrumento para diversificação e redução do risco da carteira (portfólio), constituindo assim, um Hedge.</w:t>
      </w:r>
    </w:p>
    <w:p w:rsidR="00C91F6E" w:rsidRPr="00C91F6E" w:rsidRDefault="00C91F6E" w:rsidP="00C91F6E">
      <w:pPr>
        <w:pStyle w:val="NormalWeb"/>
        <w:shd w:val="clear" w:color="auto" w:fill="FFFFFF"/>
        <w:spacing w:before="0" w:beforeAutospacing="0" w:after="300" w:afterAutospacing="0"/>
        <w:ind w:left="1134" w:right="1008"/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</w:pPr>
    </w:p>
    <w:p w:rsidR="00C91F6E" w:rsidRPr="00C91F6E" w:rsidRDefault="00C91F6E" w:rsidP="00C91F6E">
      <w:pPr>
        <w:pStyle w:val="NormalWeb"/>
        <w:shd w:val="clear" w:color="auto" w:fill="FFFFFF"/>
        <w:spacing w:before="0" w:beforeAutospacing="0" w:after="250" w:afterAutospacing="0"/>
        <w:ind w:left="1069" w:right="1008"/>
        <w:rPr>
          <w:rFonts w:ascii="Georgia" w:eastAsia="Georgia" w:hAnsi="Georgia" w:cstheme="minorHAnsi"/>
          <w:color w:val="404040" w:themeColor="text1" w:themeTint="BF"/>
          <w:w w:val="105"/>
          <w:sz w:val="20"/>
          <w:szCs w:val="20"/>
          <w:lang w:eastAsia="en-US"/>
        </w:rPr>
      </w:pPr>
    </w:p>
    <w:p w:rsidR="00C91F6E" w:rsidRDefault="00C91F6E" w:rsidP="00C91F6E">
      <w:pPr>
        <w:pStyle w:val="Corpodetexto"/>
        <w:spacing w:before="1" w:line="276" w:lineRule="auto"/>
        <w:ind w:left="709" w:right="1008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C91F6E" w:rsidRPr="00041DC9" w:rsidRDefault="00C91F6E" w:rsidP="00C91F6E">
      <w:pPr>
        <w:pStyle w:val="Corpodetexto"/>
        <w:spacing w:before="1" w:line="276" w:lineRule="auto"/>
        <w:ind w:right="1008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p w:rsidR="00C91F6E" w:rsidRPr="00C91F6E" w:rsidRDefault="00C91F6E" w:rsidP="00253855">
      <w:pPr>
        <w:pStyle w:val="Corpodetexto"/>
        <w:spacing w:before="154" w:line="276" w:lineRule="auto"/>
        <w:ind w:left="709" w:right="725"/>
        <w:rPr>
          <w:rFonts w:cstheme="minorHAnsi"/>
          <w:color w:val="404040" w:themeColor="text1" w:themeTint="BF"/>
          <w:w w:val="105"/>
          <w:sz w:val="20"/>
          <w:szCs w:val="20"/>
          <w:lang w:val="pt-BR"/>
        </w:rPr>
      </w:pPr>
    </w:p>
    <w:sectPr w:rsidR="00C91F6E" w:rsidRPr="00C91F6E" w:rsidSect="005A6EDA">
      <w:type w:val="continuous"/>
      <w:pgSz w:w="11880" w:h="16820"/>
      <w:pgMar w:top="26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894"/>
    <w:multiLevelType w:val="hybridMultilevel"/>
    <w:tmpl w:val="C54A6482"/>
    <w:lvl w:ilvl="0" w:tplc="2AD0C596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color w:val="44444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DA"/>
    <w:rsid w:val="00041DC9"/>
    <w:rsid w:val="001E742D"/>
    <w:rsid w:val="00253855"/>
    <w:rsid w:val="004861CF"/>
    <w:rsid w:val="005A6EDA"/>
    <w:rsid w:val="007A5ED8"/>
    <w:rsid w:val="00C91F6E"/>
    <w:rsid w:val="00D07B29"/>
    <w:rsid w:val="00DA7797"/>
    <w:rsid w:val="00FD714C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A153-BA78-4CAD-85AE-6456BAFB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EDA"/>
    <w:rPr>
      <w:rFonts w:ascii="Georgia" w:eastAsia="Georgia" w:hAnsi="Georgia" w:cs="Georg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A6EDA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5A6EDA"/>
    <w:pPr>
      <w:spacing w:before="15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paragraph" w:styleId="PargrafodaLista">
    <w:name w:val="List Paragraph"/>
    <w:basedOn w:val="Normal"/>
    <w:uiPriority w:val="1"/>
    <w:qFormat/>
    <w:rsid w:val="005A6EDA"/>
  </w:style>
  <w:style w:type="paragraph" w:customStyle="1" w:styleId="TableParagraph">
    <w:name w:val="Table Paragraph"/>
    <w:basedOn w:val="Normal"/>
    <w:uiPriority w:val="1"/>
    <w:qFormat/>
    <w:rsid w:val="005A6EDA"/>
    <w:pPr>
      <w:spacing w:before="2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61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1CF"/>
    <w:rPr>
      <w:rFonts w:ascii="Tahoma" w:eastAsia="Georgi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1DC9"/>
  </w:style>
  <w:style w:type="character" w:styleId="Hyperlink">
    <w:name w:val="Hyperlink"/>
    <w:basedOn w:val="Fontepargpadro"/>
    <w:uiPriority w:val="99"/>
    <w:unhideWhenUsed/>
    <w:rsid w:val="002538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1F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91F6E"/>
    <w:rPr>
      <w:b/>
      <w:bCs/>
    </w:rPr>
  </w:style>
  <w:style w:type="character" w:styleId="nfase">
    <w:name w:val="Emphasis"/>
    <w:basedOn w:val="Fontepargpadro"/>
    <w:uiPriority w:val="20"/>
    <w:qFormat/>
    <w:rsid w:val="001E7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valor.com.br/financas/4986656/multimercado-mais-resistente-estresse-politico-fez-h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05D6-D4C7-42E7-8C2A-D26FE556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Augusto Ambrozini</dc:creator>
  <cp:lastModifiedBy>Marcelo Augusto Ambrozini</cp:lastModifiedBy>
  <cp:revision>2</cp:revision>
  <dcterms:created xsi:type="dcterms:W3CDTF">2017-06-01T21:07:00Z</dcterms:created>
  <dcterms:modified xsi:type="dcterms:W3CDTF">2017-06-01T21:07:00Z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Mozilla/5.0 (Windows NT 6.1; Win64; x64) AppleWebKit/537.36 (KHTML, like Gecko) Chrome/58.0.3029.110 Safari/537.36</vt:lpwstr>
  </property>
  <property fmtid="{D5CDD505-2E9C-101B-9397-08002B2CF9AE}" pid="4" name="LastSaved">
    <vt:filetime>2017-05-31T00:00:00Z</vt:filetime>
  </property>
</Properties>
</file>