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E3450" w14:textId="316ABF05" w:rsidR="00936080" w:rsidRPr="00936080" w:rsidRDefault="00936080" w:rsidP="00936080">
      <w:pPr>
        <w:spacing w:line="276" w:lineRule="auto"/>
        <w:jc w:val="both"/>
        <w:rPr>
          <w:rFonts w:ascii="Times New Roman" w:hAnsi="Times New Roman" w:cs="Times New Roman"/>
          <w:i/>
          <w:lang w:val="de-DE"/>
        </w:rPr>
      </w:pPr>
      <w:r w:rsidRPr="00936080">
        <w:rPr>
          <w:rFonts w:ascii="Times New Roman" w:hAnsi="Times New Roman" w:cs="Times New Roman"/>
          <w:lang w:val="de-DE"/>
        </w:rPr>
        <w:t xml:space="preserve">Sulzer, </w:t>
      </w:r>
      <w:r w:rsidRPr="00936080">
        <w:rPr>
          <w:rFonts w:ascii="Times New Roman" w:hAnsi="Times New Roman" w:cs="Times New Roman"/>
          <w:i/>
          <w:lang w:val="de-DE"/>
        </w:rPr>
        <w:t>Allgemeine Theorie der schönen Künste</w:t>
      </w:r>
    </w:p>
    <w:p w14:paraId="290C333B" w14:textId="77777777" w:rsidR="00111714" w:rsidRPr="00936080" w:rsidRDefault="00C81760" w:rsidP="0093608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proofErr w:type="spellStart"/>
      <w:r w:rsidRPr="00936080">
        <w:rPr>
          <w:rFonts w:ascii="Times New Roman" w:hAnsi="Times New Roman" w:cs="Times New Roman"/>
          <w:lang w:val="en-US"/>
        </w:rPr>
        <w:t>Música</w:t>
      </w:r>
      <w:proofErr w:type="spellEnd"/>
      <w:r w:rsidRPr="00936080">
        <w:rPr>
          <w:rFonts w:ascii="Times New Roman" w:hAnsi="Times New Roman" w:cs="Times New Roman"/>
          <w:lang w:val="en-US"/>
        </w:rPr>
        <w:t xml:space="preserve"> instrumental</w:t>
      </w:r>
    </w:p>
    <w:bookmarkEnd w:id="0"/>
    <w:p w14:paraId="54162324" w14:textId="77777777" w:rsidR="00C81760" w:rsidRPr="00936080" w:rsidRDefault="00C81760" w:rsidP="0093608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04F0B92" w14:textId="66A985F1" w:rsidR="00C81760" w:rsidRPr="00936080" w:rsidRDefault="00C81760" w:rsidP="00936080">
      <w:pPr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  <w:lang w:val="en-US"/>
        </w:rPr>
        <w:tab/>
      </w:r>
      <w:r w:rsidRPr="00936080">
        <w:rPr>
          <w:rFonts w:ascii="Times New Roman" w:hAnsi="Times New Roman" w:cs="Times New Roman"/>
        </w:rPr>
        <w:t xml:space="preserve">É a música cujo canto consiste meramente de sons inarticulados e que não precisa de palavras para tornar inteligível aquilo que exprime: é oposta, por isso, à música vocal, que canta palavras inteligíveis. Toda a música se funda na força, que já está nos sons inarticulados, </w:t>
      </w:r>
      <w:r w:rsidR="00ED574F" w:rsidRPr="00936080">
        <w:rPr>
          <w:rFonts w:ascii="Times New Roman" w:hAnsi="Times New Roman" w:cs="Times New Roman"/>
        </w:rPr>
        <w:t xml:space="preserve">de </w:t>
      </w:r>
      <w:r w:rsidRPr="00936080">
        <w:rPr>
          <w:rFonts w:ascii="Times New Roman" w:hAnsi="Times New Roman" w:cs="Times New Roman"/>
        </w:rPr>
        <w:t>exprimir diferentes paixões</w:t>
      </w:r>
      <w:r w:rsidR="00936080" w:rsidRPr="00936080">
        <w:rPr>
          <w:rStyle w:val="Refdenotaderodap"/>
          <w:rFonts w:ascii="Times New Roman" w:hAnsi="Times New Roman" w:cs="Times New Roman"/>
        </w:rPr>
        <w:footnoteReference w:id="1"/>
      </w:r>
      <w:r w:rsidR="00ED574F" w:rsidRPr="00936080">
        <w:rPr>
          <w:rFonts w:ascii="Times New Roman" w:hAnsi="Times New Roman" w:cs="Times New Roman"/>
        </w:rPr>
        <w:t xml:space="preserve">; e se não se pudesse falar a língua dos sentimentos sem palavras, </w:t>
      </w:r>
      <w:r w:rsidR="004827C3" w:rsidRPr="00936080">
        <w:rPr>
          <w:rFonts w:ascii="Times New Roman" w:hAnsi="Times New Roman" w:cs="Times New Roman"/>
        </w:rPr>
        <w:t xml:space="preserve">a música não seria de modo algum possível. Parece, portanto, que a música instrumental é o que há de principal nessa bela arte. Em danças, nos </w:t>
      </w:r>
      <w:r w:rsidR="009B12A6" w:rsidRPr="00936080">
        <w:rPr>
          <w:rFonts w:ascii="Times New Roman" w:hAnsi="Times New Roman" w:cs="Times New Roman"/>
        </w:rPr>
        <w:t>desfiles</w:t>
      </w:r>
      <w:r w:rsidR="004827C3" w:rsidRPr="00936080">
        <w:rPr>
          <w:rFonts w:ascii="Times New Roman" w:hAnsi="Times New Roman" w:cs="Times New Roman"/>
        </w:rPr>
        <w:t xml:space="preserve"> solenes e nas marchas </w:t>
      </w:r>
      <w:r w:rsidR="000462FF" w:rsidRPr="00936080">
        <w:rPr>
          <w:rFonts w:ascii="Times New Roman" w:hAnsi="Times New Roman" w:cs="Times New Roman"/>
        </w:rPr>
        <w:t xml:space="preserve">militares, pode-se dispensar inteiramente a música vocal; porque os instrumentos sozinhos são totalmente suficientes para despertar e nutrir os sentimentos necessários em tais ocasiões. Mas onde os próprios objetos do sentimento têm de ser descritos ou </w:t>
      </w:r>
      <w:r w:rsidR="005F039A" w:rsidRPr="00936080">
        <w:rPr>
          <w:rFonts w:ascii="Times New Roman" w:hAnsi="Times New Roman" w:cs="Times New Roman"/>
        </w:rPr>
        <w:t xml:space="preserve">onde têm </w:t>
      </w:r>
      <w:r w:rsidR="000462FF" w:rsidRPr="00936080">
        <w:rPr>
          <w:rFonts w:ascii="Times New Roman" w:hAnsi="Times New Roman" w:cs="Times New Roman"/>
        </w:rPr>
        <w:t xml:space="preserve">de se tornar conhecidos, ali a música </w:t>
      </w:r>
      <w:r w:rsidR="00630801" w:rsidRPr="00936080">
        <w:rPr>
          <w:rFonts w:ascii="Times New Roman" w:hAnsi="Times New Roman" w:cs="Times New Roman"/>
        </w:rPr>
        <w:t>precisa</w:t>
      </w:r>
      <w:r w:rsidR="000462FF" w:rsidRPr="00936080">
        <w:rPr>
          <w:rFonts w:ascii="Times New Roman" w:hAnsi="Times New Roman" w:cs="Times New Roman"/>
        </w:rPr>
        <w:t xml:space="preserve"> do apoio da linguagem. </w:t>
      </w:r>
      <w:r w:rsidR="005F039A" w:rsidRPr="00936080">
        <w:rPr>
          <w:rFonts w:ascii="Times New Roman" w:hAnsi="Times New Roman" w:cs="Times New Roman"/>
        </w:rPr>
        <w:t xml:space="preserve">Podemos ser </w:t>
      </w:r>
      <w:proofErr w:type="gramStart"/>
      <w:r w:rsidR="00630801" w:rsidRPr="00936080">
        <w:rPr>
          <w:rFonts w:ascii="Times New Roman" w:hAnsi="Times New Roman" w:cs="Times New Roman"/>
        </w:rPr>
        <w:t>bastante</w:t>
      </w:r>
      <w:proofErr w:type="gramEnd"/>
      <w:r w:rsidR="00630801" w:rsidRPr="00936080">
        <w:rPr>
          <w:rFonts w:ascii="Times New Roman" w:hAnsi="Times New Roman" w:cs="Times New Roman"/>
        </w:rPr>
        <w:t xml:space="preserve"> comovidos se ouvimos tons da tristeza, da dor ou da</w:t>
      </w:r>
      <w:r w:rsidR="005F039A" w:rsidRPr="00936080">
        <w:rPr>
          <w:rFonts w:ascii="Times New Roman" w:hAnsi="Times New Roman" w:cs="Times New Roman"/>
        </w:rPr>
        <w:t xml:space="preserve"> queixa numa língua incompreensível para nó</w:t>
      </w:r>
      <w:r w:rsidR="00DC5552" w:rsidRPr="00936080">
        <w:rPr>
          <w:rFonts w:ascii="Times New Roman" w:hAnsi="Times New Roman" w:cs="Times New Roman"/>
        </w:rPr>
        <w:t>s; mas se aquele que lamenta fala ao mesmo tempo compreensivelmente, se nos revela o ensejo e as causas mais imediatas de seu lamento e faz conhecer as circunstâncias particulares de seu sofrimento, somos ainda mais fortemente</w:t>
      </w:r>
      <w:r w:rsidR="00630801" w:rsidRPr="00936080">
        <w:rPr>
          <w:rFonts w:ascii="Times New Roman" w:hAnsi="Times New Roman" w:cs="Times New Roman"/>
        </w:rPr>
        <w:t xml:space="preserve"> comovidos</w:t>
      </w:r>
      <w:r w:rsidR="00DC5552" w:rsidRPr="00936080">
        <w:rPr>
          <w:rFonts w:ascii="Times New Roman" w:hAnsi="Times New Roman" w:cs="Times New Roman"/>
        </w:rPr>
        <w:t>. Sem to</w:t>
      </w:r>
      <w:r w:rsidR="00630801" w:rsidRPr="00936080">
        <w:rPr>
          <w:rFonts w:ascii="Times New Roman" w:hAnsi="Times New Roman" w:cs="Times New Roman"/>
        </w:rPr>
        <w:t>m nem sonoridade, sem movimento</w:t>
      </w:r>
      <w:r w:rsidR="00DC5552" w:rsidRPr="00936080">
        <w:rPr>
          <w:rFonts w:ascii="Times New Roman" w:hAnsi="Times New Roman" w:cs="Times New Roman"/>
        </w:rPr>
        <w:t xml:space="preserve"> nem ritmo, somos comovidos de compaixão lendo as queixas de uma Safo doente de amor; mas se suspiros profundos, se sons que a dor apaixonada arranca daquela que sofre, se um movimento </w:t>
      </w:r>
      <w:r w:rsidR="00991C3A" w:rsidRPr="00936080">
        <w:rPr>
          <w:rFonts w:ascii="Times New Roman" w:hAnsi="Times New Roman" w:cs="Times New Roman"/>
        </w:rPr>
        <w:t>ardente na sequência de sons comove realmente nosso ouvido e coloca os nervos do corpo</w:t>
      </w:r>
      <w:r w:rsidR="00630801" w:rsidRPr="00936080">
        <w:rPr>
          <w:rFonts w:ascii="Times New Roman" w:hAnsi="Times New Roman" w:cs="Times New Roman"/>
        </w:rPr>
        <w:t xml:space="preserve"> em movimento</w:t>
      </w:r>
      <w:r w:rsidR="00991C3A" w:rsidRPr="00936080">
        <w:rPr>
          <w:rFonts w:ascii="Times New Roman" w:hAnsi="Times New Roman" w:cs="Times New Roman"/>
        </w:rPr>
        <w:t xml:space="preserve">, o sentimento se torna incomparavelmente mais forte. </w:t>
      </w:r>
    </w:p>
    <w:p w14:paraId="237BC4AB" w14:textId="221391D9" w:rsidR="00C81760" w:rsidRPr="00936080" w:rsidRDefault="006A6609" w:rsidP="00936080">
      <w:pPr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  <w:t xml:space="preserve">Disso aprendemos com plena certeza que a música só produz seu efeito pleno se está unida à poesia, se música vocal e música instrumental estão conjugadas. Podemos a esse respeito nos remeter ao sentimento de todos os homens: o dueto mais comovente, tocado por instrumentos ou cantado por vozes humanas cuja língua não entendemos, perde com efeito grande parte de sua força. Mas a música instrumental é suficiente ali onde a mente tem de ser comovida </w:t>
      </w:r>
      <w:r w:rsidR="001F6249" w:rsidRPr="00936080">
        <w:rPr>
          <w:rFonts w:ascii="Times New Roman" w:hAnsi="Times New Roman" w:cs="Times New Roman"/>
        </w:rPr>
        <w:t>e entretida apenas pela sensação (</w:t>
      </w:r>
      <w:proofErr w:type="spellStart"/>
      <w:r w:rsidR="001F6249" w:rsidRPr="00936080">
        <w:rPr>
          <w:rFonts w:ascii="Times New Roman" w:hAnsi="Times New Roman" w:cs="Times New Roman"/>
        </w:rPr>
        <w:t>Empfindung</w:t>
      </w:r>
      <w:proofErr w:type="spellEnd"/>
      <w:r w:rsidR="001F6249" w:rsidRPr="00936080">
        <w:rPr>
          <w:rFonts w:ascii="Times New Roman" w:hAnsi="Times New Roman" w:cs="Times New Roman"/>
        </w:rPr>
        <w:t>)</w:t>
      </w:r>
      <w:r w:rsidRPr="00936080">
        <w:rPr>
          <w:rFonts w:ascii="Times New Roman" w:hAnsi="Times New Roman" w:cs="Times New Roman"/>
        </w:rPr>
        <w:t xml:space="preserve">, sem ter diante de si um objeto particular determinado. Assim, o canto vocal não é necessário para as danças e </w:t>
      </w:r>
      <w:r w:rsidR="009B12A6" w:rsidRPr="00936080">
        <w:rPr>
          <w:rFonts w:ascii="Times New Roman" w:hAnsi="Times New Roman" w:cs="Times New Roman"/>
        </w:rPr>
        <w:t>desfiles</w:t>
      </w:r>
      <w:r w:rsidRPr="00936080">
        <w:rPr>
          <w:rFonts w:ascii="Times New Roman" w:hAnsi="Times New Roman" w:cs="Times New Roman"/>
        </w:rPr>
        <w:t xml:space="preserve"> solenes, porque os instrumentos sozinhos são suficientes para nos </w:t>
      </w:r>
      <w:r w:rsidR="009B12A6" w:rsidRPr="00936080">
        <w:rPr>
          <w:rFonts w:ascii="Times New Roman" w:hAnsi="Times New Roman" w:cs="Times New Roman"/>
        </w:rPr>
        <w:t>sensibilizar</w:t>
      </w:r>
      <w:r w:rsidRPr="00936080">
        <w:rPr>
          <w:rFonts w:ascii="Times New Roman" w:hAnsi="Times New Roman" w:cs="Times New Roman"/>
        </w:rPr>
        <w:t xml:space="preserve">. </w:t>
      </w:r>
    </w:p>
    <w:p w14:paraId="5E34ABDC" w14:textId="7B722EDB" w:rsidR="00C81760" w:rsidRPr="00936080" w:rsidRDefault="006A6609" w:rsidP="00936080">
      <w:pPr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  <w:t xml:space="preserve">Por isso, o uso da música instrumental se restringe, pela sua natureza, principalmente às danças, marchas e outros </w:t>
      </w:r>
      <w:r w:rsidR="009B12A6" w:rsidRPr="00936080">
        <w:rPr>
          <w:rFonts w:ascii="Times New Roman" w:hAnsi="Times New Roman" w:cs="Times New Roman"/>
        </w:rPr>
        <w:t xml:space="preserve">desfiles solenes. Estas são suas obras mais excelentes. Depois disso também podem mostrar seus préstimos no espetáculo dramático, uma vez que prepara antecipadamente o espectador, pelas aberturas ou sinfonias, para o afeto principal dominante no espetáculo. </w:t>
      </w:r>
      <w:r w:rsidR="002F7388" w:rsidRPr="00936080">
        <w:rPr>
          <w:rFonts w:ascii="Times New Roman" w:hAnsi="Times New Roman" w:cs="Times New Roman"/>
        </w:rPr>
        <w:t>No entanto, e</w:t>
      </w:r>
      <w:r w:rsidR="009B12A6" w:rsidRPr="00936080">
        <w:rPr>
          <w:rFonts w:ascii="Times New Roman" w:hAnsi="Times New Roman" w:cs="Times New Roman"/>
        </w:rPr>
        <w:t>la serve para mero passatempo, ou também para exercícios necessários, por meio dos quais compositores e instrumentistas se tornam mais hábeis para coisas importantes, se ela se faz ouvir em concertos, trios, solos, sonatas e semelhantes.</w:t>
      </w:r>
    </w:p>
    <w:p w14:paraId="25B20BA9" w14:textId="387D4F94" w:rsidR="006A6609" w:rsidRPr="00936080" w:rsidRDefault="00734061" w:rsidP="00936080">
      <w:pPr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</w:r>
      <w:r w:rsidR="00D46D0C" w:rsidRPr="00936080">
        <w:rPr>
          <w:rFonts w:ascii="Times New Roman" w:hAnsi="Times New Roman" w:cs="Times New Roman"/>
        </w:rPr>
        <w:t>Algumas dessas peças tê</w:t>
      </w:r>
      <w:r w:rsidR="00341BAA" w:rsidRPr="00936080">
        <w:rPr>
          <w:rFonts w:ascii="Times New Roman" w:hAnsi="Times New Roman" w:cs="Times New Roman"/>
        </w:rPr>
        <w:t>m seus caracteres estabelecidos, co</w:t>
      </w:r>
      <w:r w:rsidR="004367B7" w:rsidRPr="00936080">
        <w:rPr>
          <w:rFonts w:ascii="Times New Roman" w:hAnsi="Times New Roman" w:cs="Times New Roman"/>
        </w:rPr>
        <w:t xml:space="preserve">mo os balés, danças e marchas, e o compositor tem nesses caracteres um fio de prumo pelo qual tem de trabalhar na elaboração deles; quanto mais precisamente ele se mantiver no caráter de cada gênero, </w:t>
      </w:r>
      <w:r w:rsidR="004367B7" w:rsidRPr="00936080">
        <w:rPr>
          <w:rFonts w:ascii="Times New Roman" w:hAnsi="Times New Roman" w:cs="Times New Roman"/>
        </w:rPr>
        <w:lastRenderedPageBreak/>
        <w:t xml:space="preserve">tanto melhor </w:t>
      </w:r>
      <w:r w:rsidR="00787744" w:rsidRPr="00936080">
        <w:rPr>
          <w:rFonts w:ascii="Times New Roman" w:hAnsi="Times New Roman" w:cs="Times New Roman"/>
        </w:rPr>
        <w:t xml:space="preserve">sua obra se apresentará. </w:t>
      </w:r>
      <w:r w:rsidR="00850193" w:rsidRPr="00936080">
        <w:rPr>
          <w:rFonts w:ascii="Times New Roman" w:hAnsi="Times New Roman" w:cs="Times New Roman"/>
        </w:rPr>
        <w:t xml:space="preserve">De algum modo, também em aberturas e sinfonias, que servem de preâmbulo a um espetáculo, </w:t>
      </w:r>
      <w:r w:rsidR="00D46D0C" w:rsidRPr="00936080">
        <w:rPr>
          <w:rFonts w:ascii="Times New Roman" w:hAnsi="Times New Roman" w:cs="Times New Roman"/>
        </w:rPr>
        <w:t xml:space="preserve">ainda </w:t>
      </w:r>
      <w:r w:rsidR="00850193" w:rsidRPr="00936080">
        <w:rPr>
          <w:rFonts w:ascii="Times New Roman" w:hAnsi="Times New Roman" w:cs="Times New Roman"/>
        </w:rPr>
        <w:t xml:space="preserve">se tem </w:t>
      </w:r>
      <w:r w:rsidR="00D46D0C" w:rsidRPr="00936080">
        <w:rPr>
          <w:rFonts w:ascii="Times New Roman" w:hAnsi="Times New Roman" w:cs="Times New Roman"/>
        </w:rPr>
        <w:t xml:space="preserve">diante de si </w:t>
      </w:r>
      <w:r w:rsidR="00850193" w:rsidRPr="00936080">
        <w:rPr>
          <w:rFonts w:ascii="Times New Roman" w:hAnsi="Times New Roman" w:cs="Times New Roman"/>
        </w:rPr>
        <w:t xml:space="preserve">algo </w:t>
      </w:r>
      <w:r w:rsidR="00D46D0C" w:rsidRPr="00936080">
        <w:rPr>
          <w:rFonts w:ascii="Times New Roman" w:hAnsi="Times New Roman" w:cs="Times New Roman"/>
        </w:rPr>
        <w:t xml:space="preserve">sobre o qual se pode basear a invenção, porque elas precisam expressar o caráter principal do espetáculo para o qual são feitas. Mas a invenção para concertos, trios, solos, sonatas e coisas semelhantes, que não têm um fim último determinado, é deixada quase inteiramente ao acaso. Compreende-se ainda como um homem de gênio chega a invenções quando tem diante de si algo ao qual possa </w:t>
      </w:r>
      <w:r w:rsidR="00E06552" w:rsidRPr="00936080">
        <w:rPr>
          <w:rFonts w:ascii="Times New Roman" w:hAnsi="Times New Roman" w:cs="Times New Roman"/>
        </w:rPr>
        <w:t>se ater; mas ali onde ele mesmo não pode dizer o que quer fazer, ou o que deve propriamente ser a obra que ele se propõe faze</w:t>
      </w:r>
      <w:r w:rsidR="00110675" w:rsidRPr="00936080">
        <w:rPr>
          <w:rFonts w:ascii="Times New Roman" w:hAnsi="Times New Roman" w:cs="Times New Roman"/>
        </w:rPr>
        <w:t xml:space="preserve">r, ele conta apenas com a boa sorte. Dai vem que </w:t>
      </w:r>
      <w:r w:rsidR="00E97EAB" w:rsidRPr="00936080">
        <w:rPr>
          <w:rFonts w:ascii="Times New Roman" w:hAnsi="Times New Roman" w:cs="Times New Roman"/>
        </w:rPr>
        <w:t>a maioria das peças desse tipo não passa de um ruído bem sonante, que chega</w:t>
      </w:r>
      <w:r w:rsidR="005B7B24" w:rsidRPr="00936080">
        <w:rPr>
          <w:rFonts w:ascii="Times New Roman" w:hAnsi="Times New Roman" w:cs="Times New Roman"/>
        </w:rPr>
        <w:t xml:space="preserve"> </w:t>
      </w:r>
      <w:r w:rsidR="001158EA" w:rsidRPr="00936080">
        <w:rPr>
          <w:rFonts w:ascii="Times New Roman" w:hAnsi="Times New Roman" w:cs="Times New Roman"/>
        </w:rPr>
        <w:t>agitada</w:t>
      </w:r>
      <w:r w:rsidR="005B7B24" w:rsidRPr="00936080">
        <w:rPr>
          <w:rFonts w:ascii="Times New Roman" w:hAnsi="Times New Roman" w:cs="Times New Roman"/>
        </w:rPr>
        <w:t xml:space="preserve"> ou ternamente ao ouvido. </w:t>
      </w:r>
      <w:r w:rsidR="00E97EAB" w:rsidRPr="00936080">
        <w:rPr>
          <w:rFonts w:ascii="Times New Roman" w:hAnsi="Times New Roman" w:cs="Times New Roman"/>
        </w:rPr>
        <w:t xml:space="preserve"> </w:t>
      </w:r>
      <w:r w:rsidR="008A4747" w:rsidRPr="00936080">
        <w:rPr>
          <w:rFonts w:ascii="Times New Roman" w:hAnsi="Times New Roman" w:cs="Times New Roman"/>
        </w:rPr>
        <w:t xml:space="preserve">Para evitá-lo, o compositor faz bem se representa determinadamente todas as vezes para si o caráter de uma pessoa ou de uma situação, uma paixão, e </w:t>
      </w:r>
      <w:proofErr w:type="spellStart"/>
      <w:r w:rsidR="00A05F30" w:rsidRPr="00936080">
        <w:rPr>
          <w:rFonts w:ascii="Times New Roman" w:hAnsi="Times New Roman" w:cs="Times New Roman"/>
        </w:rPr>
        <w:t>tensiona</w:t>
      </w:r>
      <w:proofErr w:type="spellEnd"/>
      <w:r w:rsidR="00A05F30" w:rsidRPr="00936080">
        <w:rPr>
          <w:rFonts w:ascii="Times New Roman" w:hAnsi="Times New Roman" w:cs="Times New Roman"/>
        </w:rPr>
        <w:t xml:space="preserve"> sua fantasia</w:t>
      </w:r>
      <w:r w:rsidR="00F91CDF" w:rsidRPr="00936080">
        <w:rPr>
          <w:rFonts w:ascii="Times New Roman" w:hAnsi="Times New Roman" w:cs="Times New Roman"/>
        </w:rPr>
        <w:t xml:space="preserve"> até que acredite ouvir falar uma pessoa que se encontre em tais circunstâncias. Ele pode se auxiliar nisso procurando nos poetas passagens patéticas, inflamadas ou suaves, ternas, e declamando-as para si num tom condizente, para esboçar então sua peça musical nesse sentimento.</w:t>
      </w:r>
      <w:r w:rsidR="00465388" w:rsidRPr="00936080">
        <w:rPr>
          <w:rFonts w:ascii="Times New Roman" w:hAnsi="Times New Roman" w:cs="Times New Roman"/>
        </w:rPr>
        <w:t xml:space="preserve"> Ele não deve jamais esquecer aí</w:t>
      </w:r>
      <w:r w:rsidR="00F91CDF" w:rsidRPr="00936080">
        <w:rPr>
          <w:rFonts w:ascii="Times New Roman" w:hAnsi="Times New Roman" w:cs="Times New Roman"/>
        </w:rPr>
        <w:t xml:space="preserve"> que a peça musical em que nenhuma paixão ou sentimento se exteriorize numa linguagem compreensível, não passa de mero ruído. </w:t>
      </w:r>
    </w:p>
    <w:p w14:paraId="3A762C16" w14:textId="65860DCE" w:rsidR="006A6609" w:rsidRPr="00936080" w:rsidRDefault="00F91CDF" w:rsidP="00936080">
      <w:pPr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  <w:t>Na composição instrumental, além do cuidado de dar às peças um caráter determinado e a expressão correta, é preciso ainda refletir sobre diferentes coisas particulares. É necessário que o compositor conheça bem os instrumentos para o qual compõe e saiba exatamente o que é possí</w:t>
      </w:r>
      <w:r w:rsidR="00520E8D" w:rsidRPr="00936080">
        <w:rPr>
          <w:rFonts w:ascii="Times New Roman" w:hAnsi="Times New Roman" w:cs="Times New Roman"/>
        </w:rPr>
        <w:t xml:space="preserve">vel executar neles; pois do contrário pode lhe suceder que componha coisas que são opostas à extensão do instrumento ou à maneira de ser tocado. É preciso considerar sempre não apenas se aquilo que se compõe para um instrumento é possível nele, mas também se é fácil de ser tocado e se concorda a com a natureza </w:t>
      </w:r>
      <w:r w:rsidR="00785586" w:rsidRPr="00936080">
        <w:rPr>
          <w:rFonts w:ascii="Times New Roman" w:hAnsi="Times New Roman" w:cs="Times New Roman"/>
        </w:rPr>
        <w:t xml:space="preserve">dele. Cuidado especial é necessário onde duas vozes devem ser tocadas por instrumentos da mesma espécie, como o primeiro e o segundo violino. Pois, porque acontece com frequência que as vozes se confundam na audição, atribuindo ao primeiro violino o que é tocado pelo segundo e vice-versa, pode ocorrer facilmente que se ouçam quintas e oitavas proibidas, onde o compositor não colocou nenhuma. Por exemplo, se dois violinos de sonoridade bastante iguais executassem o seguinte: </w:t>
      </w:r>
    </w:p>
    <w:p w14:paraId="4B7CC034" w14:textId="62CC7456" w:rsidR="006A6609" w:rsidRPr="00936080" w:rsidRDefault="006A6609" w:rsidP="00936080">
      <w:pPr>
        <w:pStyle w:val="zenoplm4n0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0"/>
          <w:szCs w:val="20"/>
        </w:rPr>
      </w:pPr>
      <w:r w:rsidRPr="00936080">
        <w:rPr>
          <w:color w:val="000000"/>
          <w:sz w:val="20"/>
          <w:szCs w:val="20"/>
        </w:rPr>
        <w:t>.</w:t>
      </w:r>
    </w:p>
    <w:p w14:paraId="2751BD60" w14:textId="075AF9D4" w:rsidR="00294CF2" w:rsidRPr="00936080" w:rsidRDefault="00294CF2" w:rsidP="00936080">
      <w:pPr>
        <w:spacing w:line="276" w:lineRule="auto"/>
        <w:jc w:val="both"/>
        <w:rPr>
          <w:rFonts w:ascii="Times New Roman" w:hAnsi="Times New Roman" w:cs="Times New Roman"/>
          <w:lang w:val="de-DE"/>
        </w:rPr>
      </w:pPr>
      <w:r w:rsidRPr="0093608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35DA6D9" wp14:editId="5387447B">
            <wp:extent cx="2740123" cy="1135645"/>
            <wp:effectExtent l="0" t="0" r="317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17-05-12 às 11.07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732" cy="119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58BC5" w14:textId="77777777" w:rsidR="00294CF2" w:rsidRPr="00936080" w:rsidRDefault="00294CF2" w:rsidP="00936080">
      <w:pPr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1C542D74" w14:textId="646074C2" w:rsidR="00F46D44" w:rsidRPr="00936080" w:rsidRDefault="00F46D44" w:rsidP="00936080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36080">
        <w:rPr>
          <w:rFonts w:ascii="Times New Roman" w:hAnsi="Times New Roman" w:cs="Times New Roman"/>
        </w:rPr>
        <w:t>poderia</w:t>
      </w:r>
      <w:proofErr w:type="gramEnd"/>
      <w:r w:rsidRPr="00936080">
        <w:rPr>
          <w:rFonts w:ascii="Times New Roman" w:hAnsi="Times New Roman" w:cs="Times New Roman"/>
        </w:rPr>
        <w:t xml:space="preserve"> soar como se estivesse escrito assim:</w:t>
      </w:r>
    </w:p>
    <w:p w14:paraId="482EF702" w14:textId="636C2A77" w:rsidR="00294CF2" w:rsidRPr="00936080" w:rsidRDefault="00294CF2" w:rsidP="00936080">
      <w:pPr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</w:r>
    </w:p>
    <w:p w14:paraId="6ADD33EB" w14:textId="5E6B4913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  <w:r w:rsidRPr="00936080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4DF3E69" wp14:editId="0BB8417E">
            <wp:extent cx="2740123" cy="1122424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Tela 2017-05-12 às 11.10.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116" cy="11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BAC1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47A5F7F6" w14:textId="3F733402" w:rsidR="00F46D44" w:rsidRPr="00936080" w:rsidRDefault="00F46D44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36080">
        <w:rPr>
          <w:rFonts w:ascii="Times New Roman" w:hAnsi="Times New Roman" w:cs="Times New Roman"/>
        </w:rPr>
        <w:t>o</w:t>
      </w:r>
      <w:proofErr w:type="gramEnd"/>
      <w:r w:rsidRPr="00936080">
        <w:rPr>
          <w:rFonts w:ascii="Times New Roman" w:hAnsi="Times New Roman" w:cs="Times New Roman"/>
        </w:rPr>
        <w:t xml:space="preserve"> que seria bastante </w:t>
      </w:r>
      <w:r w:rsidR="00D90001" w:rsidRPr="00936080">
        <w:rPr>
          <w:rFonts w:ascii="Times New Roman" w:hAnsi="Times New Roman" w:cs="Times New Roman"/>
        </w:rPr>
        <w:t>desagradável.</w:t>
      </w:r>
    </w:p>
    <w:p w14:paraId="419EFE47" w14:textId="3EC29D2D" w:rsidR="00D90001" w:rsidRPr="00936080" w:rsidRDefault="00D90001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</w:r>
      <w:r w:rsidR="00020766" w:rsidRPr="00936080">
        <w:rPr>
          <w:rFonts w:ascii="Times New Roman" w:hAnsi="Times New Roman" w:cs="Times New Roman"/>
        </w:rPr>
        <w:t>É preciso ig</w:t>
      </w:r>
      <w:r w:rsidR="00B103A6" w:rsidRPr="00936080">
        <w:rPr>
          <w:rFonts w:ascii="Times New Roman" w:hAnsi="Times New Roman" w:cs="Times New Roman"/>
        </w:rPr>
        <w:t>ualmente ter cuidado para colocar diretamente juntos, sem as necessárias vozes intermediárias, instrumentos que estão muito distantes um do outro no que diz respeito à altura, como quanto se pretende fazer os violinos serem acompanhados de um violoncelo sem a viola. Pois com isso as vozes iriam mais longe uma das outras do que a natureza da boa harmonia suporta.</w:t>
      </w:r>
      <w:r w:rsidR="00B103A6" w:rsidRPr="00936080">
        <w:rPr>
          <w:rStyle w:val="Refdenotaderodap"/>
          <w:rFonts w:ascii="Times New Roman" w:hAnsi="Times New Roman" w:cs="Times New Roman"/>
        </w:rPr>
        <w:footnoteReference w:id="2"/>
      </w:r>
      <w:r w:rsidR="00B103A6" w:rsidRPr="00936080">
        <w:rPr>
          <w:rFonts w:ascii="Times New Roman" w:hAnsi="Times New Roman" w:cs="Times New Roman"/>
        </w:rPr>
        <w:t xml:space="preserve"> Finalmente, aqui também, como em todas as outras questões de gosto, é preciso atentar para a agradável diversidade dos instrumentos; os sons têm de se apresentar bem uns em relação aos outros, mas não em oposição. </w:t>
      </w:r>
    </w:p>
    <w:p w14:paraId="4B14A682" w14:textId="3A3F833D" w:rsidR="00B103A6" w:rsidRPr="00936080" w:rsidRDefault="00B103A6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</w:rPr>
      </w:pPr>
      <w:r w:rsidRPr="00936080">
        <w:rPr>
          <w:rFonts w:ascii="Times New Roman" w:hAnsi="Times New Roman" w:cs="Times New Roman"/>
        </w:rPr>
        <w:tab/>
        <w:t>Entre todos os instrumentos em que se podem formar sons apaixonados, a garganta humana é</w:t>
      </w:r>
      <w:r w:rsidR="00BB4231" w:rsidRPr="00936080">
        <w:rPr>
          <w:rFonts w:ascii="Times New Roman" w:hAnsi="Times New Roman" w:cs="Times New Roman"/>
        </w:rPr>
        <w:t>,</w:t>
      </w:r>
      <w:r w:rsidRPr="00936080">
        <w:rPr>
          <w:rFonts w:ascii="Times New Roman" w:hAnsi="Times New Roman" w:cs="Times New Roman"/>
        </w:rPr>
        <w:t xml:space="preserve"> sem dúvida</w:t>
      </w:r>
      <w:r w:rsidR="00BB4231" w:rsidRPr="00936080">
        <w:rPr>
          <w:rFonts w:ascii="Times New Roman" w:hAnsi="Times New Roman" w:cs="Times New Roman"/>
        </w:rPr>
        <w:t>,</w:t>
      </w:r>
      <w:r w:rsidRPr="00936080">
        <w:rPr>
          <w:rFonts w:ascii="Times New Roman" w:hAnsi="Times New Roman" w:cs="Times New Roman"/>
        </w:rPr>
        <w:t xml:space="preserve"> o mais </w:t>
      </w:r>
      <w:r w:rsidR="00BB4231" w:rsidRPr="00936080">
        <w:rPr>
          <w:rFonts w:ascii="Times New Roman" w:hAnsi="Times New Roman" w:cs="Times New Roman"/>
        </w:rPr>
        <w:t>nobre. Por isso,</w:t>
      </w:r>
      <w:r w:rsidR="0084214A" w:rsidRPr="00936080">
        <w:rPr>
          <w:rFonts w:ascii="Times New Roman" w:hAnsi="Times New Roman" w:cs="Times New Roman"/>
        </w:rPr>
        <w:t xml:space="preserve"> pode</w:t>
      </w:r>
      <w:r w:rsidR="00BB4231" w:rsidRPr="00936080">
        <w:rPr>
          <w:rFonts w:ascii="Times New Roman" w:hAnsi="Times New Roman" w:cs="Times New Roman"/>
        </w:rPr>
        <w:t>-se</w:t>
      </w:r>
      <w:r w:rsidR="0084214A" w:rsidRPr="00936080">
        <w:rPr>
          <w:rFonts w:ascii="Times New Roman" w:hAnsi="Times New Roman" w:cs="Times New Roman"/>
        </w:rPr>
        <w:t xml:space="preserve"> considerar uma máxima fundamental que os instrumentos mais primorosos sejam aqueles mais capazes de imitar o canto da voz humana em todas as modificações sonoras. Por essa razão, o oboé é um dos mais primorosos.</w:t>
      </w:r>
    </w:p>
    <w:p w14:paraId="5C017E27" w14:textId="77777777" w:rsidR="00B103A6" w:rsidRPr="00936080" w:rsidRDefault="00B103A6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C6D0233" w14:textId="4E0B96ED" w:rsidR="00294CF2" w:rsidRPr="00936080" w:rsidRDefault="00294CF2" w:rsidP="00936080">
      <w:pPr>
        <w:pStyle w:val="zenoplm4n0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AAAAAA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2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  <w:gridCol w:w="2262"/>
      </w:tblGrid>
      <w:tr w:rsidR="00294CF2" w:rsidRPr="00936080" w14:paraId="3B77ECA2" w14:textId="77777777" w:rsidTr="00294CF2">
        <w:trPr>
          <w:tblCellSpacing w:w="15" w:type="dxa"/>
        </w:trPr>
        <w:tc>
          <w:tcPr>
            <w:tcW w:w="0" w:type="auto"/>
            <w:hideMark/>
          </w:tcPr>
          <w:bookmarkStart w:id="1" w:name="fn1"/>
          <w:p w14:paraId="4CFA1A3F" w14:textId="77777777" w:rsidR="00294CF2" w:rsidRPr="00936080" w:rsidRDefault="00294CF2" w:rsidP="00936080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/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HYPERLINK "http://www.zeno.org/Sulzer-1771/A/Instrumentalmusik" \l "fn1ref" </w:instrText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936080">
              <w:rPr>
                <w:rStyle w:val="Hiperlink"/>
                <w:rFonts w:ascii="Times New Roman" w:eastAsia="Times New Roman" w:hAnsi="Times New Roman" w:cs="Times New Roman"/>
                <w:color w:val="1446C6"/>
                <w:sz w:val="22"/>
                <w:szCs w:val="22"/>
              </w:rPr>
              <w:t>1</w:t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0" w:type="auto"/>
            <w:hideMark/>
          </w:tcPr>
          <w:p w14:paraId="31CDB3CF" w14:textId="77777777" w:rsidR="00294CF2" w:rsidRPr="00936080" w:rsidRDefault="00294CF2" w:rsidP="00936080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t>S.</w:t>
            </w:r>
            <w:r w:rsidRPr="00936080">
              <w:rPr>
                <w:rStyle w:val="apple-converted-space"/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hyperlink r:id="rId8" w:history="1">
              <w:r w:rsidRPr="00936080">
                <w:rPr>
                  <w:rStyle w:val="Hiperlink"/>
                  <w:rFonts w:ascii="MS Mincho" w:eastAsia="MS Mincho" w:hAnsi="MS Mincho" w:cs="MS Mincho"/>
                  <w:color w:val="1446C6"/>
                  <w:sz w:val="22"/>
                  <w:szCs w:val="22"/>
                </w:rPr>
                <w:t>⇒</w:t>
              </w:r>
            </w:hyperlink>
            <w:r w:rsidRPr="00936080">
              <w:rPr>
                <w:rStyle w:val="apple-converted-space"/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hyperlink r:id="rId9" w:history="1">
              <w:proofErr w:type="spellStart"/>
              <w:r w:rsidRPr="00936080">
                <w:rPr>
                  <w:rStyle w:val="Hiperlink"/>
                  <w:rFonts w:ascii="Times New Roman" w:eastAsia="Times New Roman" w:hAnsi="Times New Roman" w:cs="Times New Roman"/>
                  <w:color w:val="1446C6"/>
                  <w:sz w:val="22"/>
                  <w:szCs w:val="22"/>
                </w:rPr>
                <w:t>Musik</w:t>
              </w:r>
              <w:proofErr w:type="spellEnd"/>
            </w:hyperlink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bookmarkStart w:id="2" w:name="fn2"/>
      <w:tr w:rsidR="00294CF2" w:rsidRPr="00936080" w14:paraId="5FB61BA4" w14:textId="77777777" w:rsidTr="00294CF2">
        <w:trPr>
          <w:tblCellSpacing w:w="15" w:type="dxa"/>
        </w:trPr>
        <w:tc>
          <w:tcPr>
            <w:tcW w:w="0" w:type="auto"/>
            <w:hideMark/>
          </w:tcPr>
          <w:p w14:paraId="02BDD3EE" w14:textId="77777777" w:rsidR="00294CF2" w:rsidRPr="00936080" w:rsidRDefault="00294CF2" w:rsidP="00936080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/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HYPERLINK "http://www.zeno.org/Sulzer-1771/A/Instrumentalmusik" \l "fn2ref" </w:instrText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936080">
              <w:rPr>
                <w:rStyle w:val="Hiperlink"/>
                <w:rFonts w:ascii="Times New Roman" w:eastAsia="Times New Roman" w:hAnsi="Times New Roman" w:cs="Times New Roman"/>
                <w:color w:val="1446C6"/>
                <w:sz w:val="22"/>
                <w:szCs w:val="22"/>
              </w:rPr>
              <w:t>2</w:t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0" w:type="auto"/>
            <w:hideMark/>
          </w:tcPr>
          <w:p w14:paraId="4777F31B" w14:textId="77777777" w:rsidR="00294CF2" w:rsidRPr="00936080" w:rsidRDefault="00294CF2" w:rsidP="00936080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t>S.</w:t>
            </w:r>
            <w:r w:rsidRPr="00936080">
              <w:rPr>
                <w:rStyle w:val="apple-converted-space"/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hyperlink r:id="rId10" w:history="1">
              <w:r w:rsidRPr="00936080">
                <w:rPr>
                  <w:rStyle w:val="Hiperlink"/>
                  <w:rFonts w:ascii="MS Mincho" w:eastAsia="MS Mincho" w:hAnsi="MS Mincho" w:cs="MS Mincho"/>
                  <w:color w:val="1446C6"/>
                  <w:sz w:val="22"/>
                  <w:szCs w:val="22"/>
                </w:rPr>
                <w:t>⇒</w:t>
              </w:r>
            </w:hyperlink>
            <w:r w:rsidRPr="00936080">
              <w:rPr>
                <w:rStyle w:val="apple-converted-space"/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t>Eng.</w:t>
            </w:r>
            <w:r w:rsidRPr="00936080">
              <w:rPr>
                <w:rStyle w:val="apple-converted-space"/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hyperlink r:id="rId11" w:history="1">
              <w:r w:rsidRPr="00936080">
                <w:rPr>
                  <w:rStyle w:val="Hiperlink"/>
                  <w:rFonts w:ascii="MS Mincho" w:eastAsia="MS Mincho" w:hAnsi="MS Mincho" w:cs="MS Mincho"/>
                  <w:color w:val="1446C6"/>
                  <w:sz w:val="22"/>
                  <w:szCs w:val="22"/>
                </w:rPr>
                <w:t>⇒</w:t>
              </w:r>
            </w:hyperlink>
            <w:r w:rsidRPr="00936080">
              <w:rPr>
                <w:rStyle w:val="apple-converted-space"/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hyperlink r:id="rId12" w:history="1">
              <w:proofErr w:type="spellStart"/>
              <w:r w:rsidRPr="00936080">
                <w:rPr>
                  <w:rStyle w:val="Hiperlink"/>
                  <w:rFonts w:ascii="Times New Roman" w:eastAsia="Times New Roman" w:hAnsi="Times New Roman" w:cs="Times New Roman"/>
                  <w:color w:val="1446C6"/>
                  <w:sz w:val="22"/>
                  <w:szCs w:val="22"/>
                </w:rPr>
                <w:t>Harmonie</w:t>
              </w:r>
              <w:proofErr w:type="spellEnd"/>
            </w:hyperlink>
            <w:r w:rsidRPr="0093608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69245AB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14879CDF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3199D222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751F21E3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466402DE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p w14:paraId="05CECCCD" w14:textId="77777777" w:rsidR="00294CF2" w:rsidRPr="00936080" w:rsidRDefault="00294CF2" w:rsidP="00936080">
      <w:pPr>
        <w:tabs>
          <w:tab w:val="left" w:pos="1063"/>
        </w:tabs>
        <w:spacing w:line="276" w:lineRule="auto"/>
        <w:jc w:val="both"/>
        <w:rPr>
          <w:rFonts w:ascii="Times New Roman" w:hAnsi="Times New Roman" w:cs="Times New Roman"/>
          <w:lang w:val="de-DE"/>
        </w:rPr>
      </w:pPr>
    </w:p>
    <w:sectPr w:rsidR="00294CF2" w:rsidRPr="00936080" w:rsidSect="00C15F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455E1" w14:textId="77777777" w:rsidR="00287137" w:rsidRDefault="00287137" w:rsidP="00B103A6">
      <w:r>
        <w:separator/>
      </w:r>
    </w:p>
  </w:endnote>
  <w:endnote w:type="continuationSeparator" w:id="0">
    <w:p w14:paraId="3F0E08FE" w14:textId="77777777" w:rsidR="00287137" w:rsidRDefault="00287137" w:rsidP="00B1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30BF3" w14:textId="77777777" w:rsidR="00287137" w:rsidRDefault="00287137" w:rsidP="00B103A6">
      <w:r>
        <w:separator/>
      </w:r>
    </w:p>
  </w:footnote>
  <w:footnote w:type="continuationSeparator" w:id="0">
    <w:p w14:paraId="4370BF5E" w14:textId="77777777" w:rsidR="00287137" w:rsidRDefault="00287137" w:rsidP="00B103A6">
      <w:r>
        <w:continuationSeparator/>
      </w:r>
    </w:p>
  </w:footnote>
  <w:footnote w:id="1">
    <w:p w14:paraId="1084495E" w14:textId="1225CF5F" w:rsidR="00936080" w:rsidRPr="00936080" w:rsidRDefault="00936080">
      <w:pPr>
        <w:pStyle w:val="Textodenotaderodap"/>
        <w:rPr>
          <w:sz w:val="20"/>
          <w:szCs w:val="20"/>
          <w:lang w:val="en-US"/>
        </w:rPr>
      </w:pPr>
      <w:r w:rsidRPr="00936080">
        <w:rPr>
          <w:rStyle w:val="Refdenotaderodap"/>
          <w:sz w:val="20"/>
          <w:szCs w:val="20"/>
        </w:rPr>
        <w:footnoteRef/>
      </w:r>
      <w:r w:rsidRPr="00936080">
        <w:rPr>
          <w:sz w:val="20"/>
          <w:szCs w:val="20"/>
        </w:rPr>
        <w:t xml:space="preserve"> </w:t>
      </w:r>
      <w:r w:rsidRPr="00936080">
        <w:rPr>
          <w:sz w:val="20"/>
          <w:szCs w:val="20"/>
          <w:lang w:val="en-US"/>
        </w:rPr>
        <w:t xml:space="preserve">Cf. </w:t>
      </w:r>
      <w:proofErr w:type="spellStart"/>
      <w:r w:rsidRPr="00936080">
        <w:rPr>
          <w:sz w:val="20"/>
          <w:szCs w:val="20"/>
          <w:lang w:val="en-US"/>
        </w:rPr>
        <w:t>Música</w:t>
      </w:r>
      <w:proofErr w:type="spellEnd"/>
      <w:r w:rsidRPr="00936080">
        <w:rPr>
          <w:sz w:val="20"/>
          <w:szCs w:val="20"/>
          <w:lang w:val="en-US"/>
        </w:rPr>
        <w:t>.</w:t>
      </w:r>
    </w:p>
  </w:footnote>
  <w:footnote w:id="2">
    <w:p w14:paraId="4C46F694" w14:textId="15297EE4" w:rsidR="00B103A6" w:rsidRPr="00B103A6" w:rsidRDefault="00B103A6">
      <w:pPr>
        <w:pStyle w:val="Textodenotaderodap"/>
        <w:rPr>
          <w:rFonts w:ascii="Garamond" w:hAnsi="Garamond"/>
          <w:sz w:val="20"/>
          <w:szCs w:val="20"/>
          <w:lang w:val="en-US"/>
        </w:rPr>
      </w:pPr>
      <w:r w:rsidRPr="00B103A6">
        <w:rPr>
          <w:rStyle w:val="Refdenotaderodap"/>
          <w:rFonts w:ascii="Garamond" w:hAnsi="Garamond"/>
          <w:sz w:val="20"/>
          <w:szCs w:val="20"/>
        </w:rPr>
        <w:footnoteRef/>
      </w:r>
      <w:r w:rsidRPr="00B103A6">
        <w:rPr>
          <w:rFonts w:ascii="Garamond" w:hAnsi="Garamond"/>
          <w:sz w:val="20"/>
          <w:szCs w:val="20"/>
        </w:rPr>
        <w:t xml:space="preserve"> </w:t>
      </w:r>
      <w:proofErr w:type="spellStart"/>
      <w:r w:rsidRPr="00B103A6">
        <w:rPr>
          <w:rFonts w:ascii="Garamond" w:hAnsi="Garamond"/>
          <w:sz w:val="20"/>
          <w:szCs w:val="20"/>
          <w:lang w:val="en-US"/>
        </w:rPr>
        <w:t>Ver</w:t>
      </w:r>
      <w:proofErr w:type="spellEnd"/>
      <w:r w:rsidRPr="00B103A6">
        <w:rPr>
          <w:rFonts w:ascii="Garamond" w:hAnsi="Garamond"/>
          <w:sz w:val="20"/>
          <w:szCs w:val="20"/>
          <w:lang w:val="en-US"/>
        </w:rPr>
        <w:t xml:space="preserve"> </w:t>
      </w:r>
      <w:r w:rsidRPr="00B103A6">
        <w:rPr>
          <w:rFonts w:ascii="Garamond" w:hAnsi="Garamond"/>
          <w:sz w:val="20"/>
          <w:szCs w:val="20"/>
          <w:lang w:val="en-US"/>
        </w:rPr>
        <w:sym w:font="Symbol" w:char="F0AE"/>
      </w:r>
      <w:r w:rsidRPr="00B103A6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B103A6">
        <w:rPr>
          <w:rFonts w:ascii="Garamond" w:hAnsi="Garamond"/>
          <w:sz w:val="20"/>
          <w:szCs w:val="20"/>
          <w:lang w:val="en-US"/>
        </w:rPr>
        <w:t>Eng</w:t>
      </w:r>
      <w:proofErr w:type="spellEnd"/>
      <w:r w:rsidRPr="00B103A6">
        <w:rPr>
          <w:rFonts w:ascii="Garamond" w:hAnsi="Garamond"/>
          <w:sz w:val="20"/>
          <w:szCs w:val="20"/>
          <w:lang w:val="en-US"/>
        </w:rPr>
        <w:t xml:space="preserve"> </w:t>
      </w:r>
      <w:r w:rsidRPr="00B103A6">
        <w:rPr>
          <w:rFonts w:ascii="Garamond" w:hAnsi="Garamond"/>
          <w:sz w:val="20"/>
          <w:szCs w:val="20"/>
          <w:lang w:val="en-US"/>
        </w:rPr>
        <w:sym w:font="Symbol" w:char="F0AE"/>
      </w:r>
      <w:r w:rsidRPr="00B103A6">
        <w:rPr>
          <w:rFonts w:ascii="Garamond" w:hAnsi="Garamond"/>
          <w:sz w:val="20"/>
          <w:szCs w:val="20"/>
          <w:lang w:val="en-US"/>
        </w:rPr>
        <w:t xml:space="preserve"> Harmonia.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0"/>
    <w:rsid w:val="00020766"/>
    <w:rsid w:val="000462FF"/>
    <w:rsid w:val="00110675"/>
    <w:rsid w:val="001158EA"/>
    <w:rsid w:val="001F6249"/>
    <w:rsid w:val="00206BED"/>
    <w:rsid w:val="00287137"/>
    <w:rsid w:val="00294CF2"/>
    <w:rsid w:val="00294F90"/>
    <w:rsid w:val="002F7388"/>
    <w:rsid w:val="00341BAA"/>
    <w:rsid w:val="004367B7"/>
    <w:rsid w:val="00465388"/>
    <w:rsid w:val="004827C3"/>
    <w:rsid w:val="004C6DB9"/>
    <w:rsid w:val="00520E8D"/>
    <w:rsid w:val="005924AD"/>
    <w:rsid w:val="005B7B24"/>
    <w:rsid w:val="005F039A"/>
    <w:rsid w:val="00630801"/>
    <w:rsid w:val="006A6609"/>
    <w:rsid w:val="0071428C"/>
    <w:rsid w:val="00734061"/>
    <w:rsid w:val="00785586"/>
    <w:rsid w:val="00787744"/>
    <w:rsid w:val="0084214A"/>
    <w:rsid w:val="00850193"/>
    <w:rsid w:val="008A4747"/>
    <w:rsid w:val="00916448"/>
    <w:rsid w:val="00936080"/>
    <w:rsid w:val="00991C3A"/>
    <w:rsid w:val="009B12A6"/>
    <w:rsid w:val="00A05F30"/>
    <w:rsid w:val="00B103A6"/>
    <w:rsid w:val="00BB4231"/>
    <w:rsid w:val="00C15F2D"/>
    <w:rsid w:val="00C81760"/>
    <w:rsid w:val="00D46D0C"/>
    <w:rsid w:val="00D90001"/>
    <w:rsid w:val="00DC5552"/>
    <w:rsid w:val="00E06552"/>
    <w:rsid w:val="00E97EAB"/>
    <w:rsid w:val="00ED574F"/>
    <w:rsid w:val="00F05F35"/>
    <w:rsid w:val="00F46D44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3C1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81760"/>
  </w:style>
  <w:style w:type="character" w:styleId="Hiperlink">
    <w:name w:val="Hyperlink"/>
    <w:basedOn w:val="Fontepargpadro"/>
    <w:uiPriority w:val="99"/>
    <w:semiHidden/>
    <w:unhideWhenUsed/>
    <w:rsid w:val="00C81760"/>
    <w:rPr>
      <w:color w:val="0000FF"/>
      <w:u w:val="single"/>
    </w:rPr>
  </w:style>
  <w:style w:type="character" w:customStyle="1" w:styleId="zenotxhighlight0">
    <w:name w:val="zenotxhighlight0"/>
    <w:basedOn w:val="Fontepargpadro"/>
    <w:rsid w:val="00C81760"/>
  </w:style>
  <w:style w:type="paragraph" w:customStyle="1" w:styleId="zenoplm4n0">
    <w:name w:val="zenoplm4n0"/>
    <w:basedOn w:val="Normal"/>
    <w:rsid w:val="006A6609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4CF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103A6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103A6"/>
  </w:style>
  <w:style w:type="character" w:styleId="Refdenotaderodap">
    <w:name w:val="footnote reference"/>
    <w:basedOn w:val="Fontepargpadro"/>
    <w:uiPriority w:val="99"/>
    <w:unhideWhenUsed/>
    <w:rsid w:val="00B10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zeno.org/Sulzer-1771/A/Harmonie+(Musik)" TargetMode="External"/><Relationship Id="rId12" Type="http://schemas.openxmlformats.org/officeDocument/2006/relationships/hyperlink" Target="http://www.zeno.org/Sulzer-1771/A/Harmonie+(Mahlerey)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zeno.org/Sulzer-1771/A/Musik" TargetMode="External"/><Relationship Id="rId9" Type="http://schemas.openxmlformats.org/officeDocument/2006/relationships/hyperlink" Target="http://www.zeno.org/Sulzer-1771/A/Musik" TargetMode="External"/><Relationship Id="rId10" Type="http://schemas.openxmlformats.org/officeDocument/2006/relationships/hyperlink" Target="http://www.zeno.org/Sulzer-1771/A/E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1141</Words>
  <Characters>6164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Suzuki</dc:creator>
  <cp:keywords/>
  <dc:description/>
  <cp:lastModifiedBy>Marcio Suzuki</cp:lastModifiedBy>
  <cp:revision>5</cp:revision>
  <dcterms:created xsi:type="dcterms:W3CDTF">2017-05-11T13:13:00Z</dcterms:created>
  <dcterms:modified xsi:type="dcterms:W3CDTF">2017-05-15T15:11:00Z</dcterms:modified>
</cp:coreProperties>
</file>