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A0" w:rsidRDefault="009956A0" w:rsidP="009956A0">
      <w:pPr>
        <w:numPr>
          <w:ilvl w:val="0"/>
          <w:numId w:val="0"/>
        </w:numPr>
        <w:tabs>
          <w:tab w:val="left" w:pos="5660"/>
        </w:tabs>
        <w:ind w:left="7800" w:hanging="2160"/>
        <w:jc w:val="center"/>
        <w:rPr>
          <w:rFonts w:ascii="Garamond" w:hAnsi="Garamond"/>
          <w:b/>
          <w:smallCaps/>
          <w:sz w:val="24"/>
        </w:rPr>
      </w:pPr>
    </w:p>
    <w:p w:rsidR="009956A0" w:rsidRDefault="009956A0" w:rsidP="009956A0">
      <w:pPr>
        <w:numPr>
          <w:ilvl w:val="0"/>
          <w:numId w:val="0"/>
        </w:numPr>
        <w:tabs>
          <w:tab w:val="left" w:pos="0"/>
        </w:tabs>
        <w:jc w:val="center"/>
        <w:rPr>
          <w:rFonts w:ascii="Garamond" w:hAnsi="Garamond"/>
          <w:b/>
          <w:smallCaps/>
          <w:sz w:val="24"/>
        </w:rPr>
      </w:pPr>
      <w:r>
        <w:rPr>
          <w:rFonts w:ascii="Garamond" w:hAnsi="Garamond"/>
          <w:b/>
          <w:smallCaps/>
          <w:sz w:val="24"/>
        </w:rPr>
        <w:t>Faculdade de Direito da Universidade de São Paulo</w:t>
      </w:r>
    </w:p>
    <w:p w:rsidR="009956A0" w:rsidRDefault="009956A0" w:rsidP="009956A0">
      <w:pPr>
        <w:numPr>
          <w:ilvl w:val="0"/>
          <w:numId w:val="0"/>
        </w:numPr>
        <w:tabs>
          <w:tab w:val="left" w:pos="0"/>
        </w:tabs>
        <w:jc w:val="center"/>
        <w:rPr>
          <w:rFonts w:ascii="Garamond" w:hAnsi="Garamond"/>
          <w:b/>
          <w:smallCaps/>
          <w:sz w:val="24"/>
        </w:rPr>
      </w:pPr>
      <w:r>
        <w:rPr>
          <w:rFonts w:ascii="Garamond" w:hAnsi="Garamond"/>
          <w:b/>
          <w:smallCaps/>
          <w:sz w:val="24"/>
        </w:rPr>
        <w:t>Parte Especial do Direito Comercial –  DCO 315</w:t>
      </w:r>
    </w:p>
    <w:p w:rsidR="009956A0" w:rsidRDefault="009956A0" w:rsidP="009956A0">
      <w:pPr>
        <w:numPr>
          <w:ilvl w:val="0"/>
          <w:numId w:val="0"/>
        </w:numPr>
        <w:tabs>
          <w:tab w:val="left" w:pos="0"/>
        </w:tabs>
        <w:jc w:val="center"/>
        <w:rPr>
          <w:rFonts w:ascii="Garamond" w:hAnsi="Garamond"/>
          <w:b/>
          <w:smallCaps/>
          <w:sz w:val="24"/>
        </w:rPr>
      </w:pPr>
      <w:r>
        <w:rPr>
          <w:rFonts w:ascii="Garamond" w:hAnsi="Garamond"/>
          <w:b/>
          <w:smallCaps/>
          <w:sz w:val="24"/>
        </w:rPr>
        <w:t>Direito Societário: Sociedades Anônimas</w:t>
      </w:r>
    </w:p>
    <w:p w:rsidR="009956A0" w:rsidRDefault="00134F94" w:rsidP="009956A0">
      <w:pPr>
        <w:numPr>
          <w:ilvl w:val="0"/>
          <w:numId w:val="0"/>
        </w:numPr>
        <w:tabs>
          <w:tab w:val="left" w:pos="0"/>
        </w:tabs>
        <w:jc w:val="center"/>
        <w:rPr>
          <w:rFonts w:ascii="Garamond" w:hAnsi="Garamond"/>
          <w:b/>
          <w:smallCaps/>
          <w:sz w:val="24"/>
        </w:rPr>
      </w:pPr>
      <w:r>
        <w:rPr>
          <w:rFonts w:ascii="Garamond" w:hAnsi="Garamond"/>
          <w:b/>
          <w:smallCaps/>
          <w:sz w:val="24"/>
        </w:rPr>
        <w:t>2015</w:t>
      </w:r>
    </w:p>
    <w:p w:rsidR="009956A0" w:rsidRDefault="009956A0" w:rsidP="009956A0">
      <w:pPr>
        <w:numPr>
          <w:ilvl w:val="0"/>
          <w:numId w:val="0"/>
        </w:numPr>
        <w:tabs>
          <w:tab w:val="left" w:pos="5660"/>
        </w:tabs>
        <w:jc w:val="center"/>
        <w:rPr>
          <w:rFonts w:ascii="Garamond" w:hAnsi="Garamond"/>
          <w:b/>
          <w:smallCaps/>
          <w:sz w:val="24"/>
        </w:rPr>
      </w:pPr>
      <w:r>
        <w:rPr>
          <w:rFonts w:ascii="Garamond" w:hAnsi="Garamond"/>
          <w:b/>
          <w:smallCaps/>
          <w:sz w:val="24"/>
        </w:rPr>
        <w:t xml:space="preserve">Professor Associado Eduardo </w:t>
      </w:r>
      <w:proofErr w:type="spellStart"/>
      <w:r>
        <w:rPr>
          <w:rFonts w:ascii="Garamond" w:hAnsi="Garamond"/>
          <w:b/>
          <w:smallCaps/>
          <w:sz w:val="24"/>
        </w:rPr>
        <w:t>Secchi</w:t>
      </w:r>
      <w:proofErr w:type="spellEnd"/>
      <w:r>
        <w:rPr>
          <w:rFonts w:ascii="Garamond" w:hAnsi="Garamond"/>
          <w:b/>
          <w:smallCaps/>
          <w:sz w:val="24"/>
        </w:rPr>
        <w:t xml:space="preserve"> Munhoz</w:t>
      </w:r>
    </w:p>
    <w:p w:rsidR="009956A0" w:rsidRDefault="009956A0" w:rsidP="009956A0">
      <w:pPr>
        <w:pStyle w:val="Heading3"/>
        <w:numPr>
          <w:ilvl w:val="0"/>
          <w:numId w:val="0"/>
        </w:numPr>
        <w:rPr>
          <w:rFonts w:ascii="Garamond" w:hAnsi="Garamond"/>
          <w:b w:val="0"/>
        </w:rPr>
      </w:pPr>
      <w:bookmarkStart w:id="0" w:name="_GoBack"/>
      <w:bookmarkEnd w:id="0"/>
    </w:p>
    <w:p w:rsidR="009956A0" w:rsidRDefault="009956A0" w:rsidP="009956A0">
      <w:pPr>
        <w:pStyle w:val="Heading1"/>
        <w:numPr>
          <w:ilvl w:val="0"/>
          <w:numId w:val="0"/>
        </w:numPr>
        <w:rPr>
          <w:rFonts w:ascii="Garamond" w:hAnsi="Garamond"/>
          <w:sz w:val="24"/>
          <w:u w:val="single"/>
        </w:rPr>
      </w:pPr>
    </w:p>
    <w:p w:rsidR="009956A0" w:rsidRDefault="009956A0" w:rsidP="009956A0">
      <w:pPr>
        <w:pStyle w:val="Heading1"/>
        <w:numPr>
          <w:ilvl w:val="0"/>
          <w:numId w:val="0"/>
        </w:numPr>
        <w:rPr>
          <w:rFonts w:ascii="Garamond" w:hAnsi="Garamond"/>
          <w:sz w:val="24"/>
          <w:u w:val="single"/>
        </w:rPr>
      </w:pPr>
      <w:r>
        <w:rPr>
          <w:rFonts w:ascii="Garamond" w:hAnsi="Garamond"/>
          <w:sz w:val="24"/>
          <w:u w:val="single"/>
        </w:rPr>
        <w:t>Programa de aulas – Leitura obrigatória</w:t>
      </w:r>
    </w:p>
    <w:p w:rsidR="009956A0" w:rsidRDefault="009956A0" w:rsidP="009956A0">
      <w:pPr>
        <w:numPr>
          <w:ilvl w:val="0"/>
          <w:numId w:val="0"/>
        </w:numPr>
        <w:ind w:left="7800" w:hanging="2160"/>
        <w:rPr>
          <w:rFonts w:ascii="Garamond" w:hAnsi="Garamond"/>
          <w:sz w:val="24"/>
        </w:rPr>
      </w:pPr>
    </w:p>
    <w:p w:rsidR="009956A0" w:rsidRDefault="009956A0" w:rsidP="009956A0">
      <w:pPr>
        <w:pStyle w:val="Heading7"/>
      </w:pP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1 - Origem e evolução histórica.</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T. </w:t>
      </w:r>
      <w:proofErr w:type="spellStart"/>
      <w:r>
        <w:rPr>
          <w:rFonts w:ascii="Garamond" w:hAnsi="Garamond"/>
          <w:sz w:val="24"/>
        </w:rPr>
        <w:t>Ascarelli</w:t>
      </w:r>
      <w:proofErr w:type="spellEnd"/>
      <w:r>
        <w:rPr>
          <w:rFonts w:ascii="Garamond" w:hAnsi="Garamond"/>
          <w:sz w:val="24"/>
        </w:rPr>
        <w:t xml:space="preserve">, “Princípios e problemas das sociedades anônimas”, </w:t>
      </w:r>
      <w:r>
        <w:rPr>
          <w:rFonts w:ascii="Garamond" w:hAnsi="Garamond"/>
          <w:i/>
          <w:sz w:val="24"/>
        </w:rPr>
        <w:t xml:space="preserve">Problemas das sociedades anônimas e direito comparado, </w:t>
      </w:r>
      <w:r>
        <w:rPr>
          <w:rFonts w:ascii="Garamond" w:hAnsi="Garamond"/>
          <w:sz w:val="24"/>
        </w:rPr>
        <w:t>São Paulo, Saraiva.</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2 - Características estruturais, funções e tipologia.</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sz w:val="24"/>
        </w:rPr>
      </w:pPr>
      <w:r>
        <w:rPr>
          <w:rFonts w:ascii="Garamond" w:hAnsi="Garamond"/>
          <w:sz w:val="24"/>
        </w:rPr>
        <w:t xml:space="preserve">T. </w:t>
      </w:r>
      <w:proofErr w:type="spellStart"/>
      <w:r>
        <w:rPr>
          <w:rFonts w:ascii="Garamond" w:hAnsi="Garamond"/>
          <w:sz w:val="24"/>
        </w:rPr>
        <w:t>Ascarelli</w:t>
      </w:r>
      <w:proofErr w:type="spellEnd"/>
      <w:r>
        <w:rPr>
          <w:rFonts w:ascii="Garamond" w:hAnsi="Garamond"/>
          <w:sz w:val="24"/>
        </w:rPr>
        <w:t xml:space="preserve">, “Princípios e problemas das sociedades anônimas”, </w:t>
      </w:r>
      <w:r>
        <w:rPr>
          <w:rFonts w:ascii="Garamond" w:hAnsi="Garamond"/>
          <w:i/>
          <w:sz w:val="24"/>
        </w:rPr>
        <w:t xml:space="preserve">Problemas das sociedades anônimas e direito comparado, </w:t>
      </w:r>
      <w:r>
        <w:rPr>
          <w:rFonts w:ascii="Garamond" w:hAnsi="Garamond"/>
          <w:sz w:val="24"/>
        </w:rPr>
        <w:t>São Paulo, Saraiva.</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Lacerda Teixeira e Tavares Guerreiro, </w:t>
      </w:r>
      <w:r>
        <w:rPr>
          <w:rFonts w:ascii="Garamond" w:hAnsi="Garamond"/>
          <w:i/>
          <w:sz w:val="24"/>
        </w:rPr>
        <w:t>Das sociedades anônimas no direito brasileiro</w:t>
      </w:r>
      <w:r>
        <w:rPr>
          <w:rFonts w:ascii="Garamond" w:hAnsi="Garamond"/>
          <w:sz w:val="24"/>
        </w:rPr>
        <w:t>, São Paulo, 1979, p. 97-100; 107-123.</w:t>
      </w:r>
    </w:p>
    <w:p w:rsidR="009956A0" w:rsidRDefault="009956A0" w:rsidP="009956A0">
      <w:pPr>
        <w:pStyle w:val="BodyText"/>
        <w:spacing w:before="0" w:after="0"/>
        <w:rPr>
          <w:rFonts w:ascii="Garamond" w:hAnsi="Garamond"/>
        </w:rPr>
      </w:pPr>
    </w:p>
    <w:p w:rsidR="009956A0" w:rsidRDefault="009956A0" w:rsidP="009956A0">
      <w:pPr>
        <w:numPr>
          <w:ilvl w:val="0"/>
          <w:numId w:val="0"/>
        </w:numPr>
        <w:jc w:val="both"/>
        <w:rPr>
          <w:rFonts w:ascii="Garamond" w:hAnsi="Garamond"/>
          <w:b/>
          <w:caps/>
          <w:sz w:val="24"/>
        </w:rPr>
      </w:pPr>
      <w:r>
        <w:rPr>
          <w:rFonts w:ascii="Garamond" w:hAnsi="Garamond"/>
          <w:b/>
          <w:caps/>
          <w:sz w:val="24"/>
        </w:rPr>
        <w:t>3 - Constituição: subscrição pública e privada. Sociedade anônima e mercado de capitais.</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Lacerda Teixeira e Tavares Guerreiro, </w:t>
      </w:r>
      <w:r>
        <w:rPr>
          <w:rFonts w:ascii="Garamond" w:hAnsi="Garamond"/>
          <w:i/>
          <w:sz w:val="24"/>
        </w:rPr>
        <w:t>Das sociedades anônimas no direito brasileiro</w:t>
      </w:r>
      <w:r>
        <w:rPr>
          <w:rFonts w:ascii="Garamond" w:hAnsi="Garamond"/>
          <w:sz w:val="24"/>
        </w:rPr>
        <w:t>, São Paulo, 1979, p. 29-39; 125-136.</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M. Carvalhosa, </w:t>
      </w:r>
      <w:r>
        <w:rPr>
          <w:rFonts w:ascii="Garamond" w:hAnsi="Garamond"/>
          <w:i/>
          <w:sz w:val="24"/>
        </w:rPr>
        <w:t>Comentários à lei de sociedades anônimas</w:t>
      </w:r>
      <w:r>
        <w:rPr>
          <w:rFonts w:ascii="Garamond" w:hAnsi="Garamond"/>
          <w:sz w:val="24"/>
        </w:rPr>
        <w:t>, 4º ed., 1º vol., São Paulo, Saraiva, 2002, p. 28-85.</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Calixto Salomão Filho, “Direito societário e novo mercado”, </w:t>
      </w:r>
      <w:r>
        <w:rPr>
          <w:rFonts w:ascii="Garamond" w:hAnsi="Garamond"/>
          <w:i/>
          <w:sz w:val="24"/>
        </w:rPr>
        <w:t xml:space="preserve">O novo direito societário, </w:t>
      </w:r>
      <w:r>
        <w:rPr>
          <w:rFonts w:ascii="Garamond" w:hAnsi="Garamond"/>
          <w:sz w:val="24"/>
        </w:rPr>
        <w:t>2ª ed., São Paulo, p. 52.</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 xml:space="preserve">4 - Objeto social, denominação e formação do capital social. </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u w:val="single"/>
        </w:rPr>
      </w:pPr>
      <w:r>
        <w:rPr>
          <w:rFonts w:ascii="Garamond" w:hAnsi="Garamond"/>
          <w:sz w:val="24"/>
        </w:rPr>
        <w:t xml:space="preserve">Lacerda Teixeira e Tavares Guerreiro, </w:t>
      </w:r>
      <w:r>
        <w:rPr>
          <w:rFonts w:ascii="Garamond" w:hAnsi="Garamond"/>
          <w:i/>
          <w:sz w:val="24"/>
        </w:rPr>
        <w:t>Das sociedades anônimas no direito brasileiro</w:t>
      </w:r>
      <w:r>
        <w:rPr>
          <w:rFonts w:ascii="Garamond" w:hAnsi="Garamond"/>
          <w:sz w:val="24"/>
        </w:rPr>
        <w:t>, São Paulo, 1979, p. 101-107; 139-146.</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5 - Ações: generalidades, espécies, classes, formas de circulação, resgate Amortização e reembolso, direitos reais sobre ações alheias.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M. Carvalhosa, </w:t>
      </w:r>
      <w:r>
        <w:rPr>
          <w:rFonts w:ascii="Garamond" w:hAnsi="Garamond"/>
          <w:i/>
          <w:sz w:val="24"/>
        </w:rPr>
        <w:t>Comentários à lei de sociedades anônimas</w:t>
      </w:r>
      <w:r>
        <w:rPr>
          <w:rFonts w:ascii="Garamond" w:hAnsi="Garamond"/>
          <w:sz w:val="24"/>
        </w:rPr>
        <w:t>, 4º ed., 1º vol., São Paulo, Saraiva, 2002, p. p.131-140; 163-169; 177-184; 277-298; 349-359; 367-377; 411-432.</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lastRenderedPageBreak/>
        <w:t xml:space="preserve">Calixto Salomão Filho, “’Golden </w:t>
      </w:r>
      <w:proofErr w:type="spellStart"/>
      <w:r>
        <w:rPr>
          <w:rFonts w:ascii="Garamond" w:hAnsi="Garamond"/>
          <w:sz w:val="24"/>
        </w:rPr>
        <w:t>share</w:t>
      </w:r>
      <w:proofErr w:type="spellEnd"/>
      <w:r>
        <w:rPr>
          <w:rFonts w:ascii="Garamond" w:hAnsi="Garamond"/>
          <w:sz w:val="24"/>
        </w:rPr>
        <w:t xml:space="preserve">’: utilidades e limites”, </w:t>
      </w:r>
      <w:r>
        <w:rPr>
          <w:rFonts w:ascii="Garamond" w:hAnsi="Garamond"/>
          <w:i/>
          <w:sz w:val="24"/>
        </w:rPr>
        <w:t xml:space="preserve">O novo direito societário, </w:t>
      </w:r>
      <w:r>
        <w:rPr>
          <w:rFonts w:ascii="Garamond" w:hAnsi="Garamond"/>
          <w:sz w:val="24"/>
        </w:rPr>
        <w:t>São Paulo, p. 160.</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F. </w:t>
      </w:r>
      <w:proofErr w:type="spellStart"/>
      <w:r>
        <w:rPr>
          <w:rFonts w:ascii="Garamond" w:hAnsi="Garamond"/>
          <w:sz w:val="24"/>
        </w:rPr>
        <w:t>Comparato</w:t>
      </w:r>
      <w:proofErr w:type="spellEnd"/>
      <w:r>
        <w:rPr>
          <w:rFonts w:ascii="Garamond" w:hAnsi="Garamond"/>
          <w:sz w:val="24"/>
        </w:rPr>
        <w:t xml:space="preserve">, “Ações </w:t>
      </w:r>
      <w:proofErr w:type="spellStart"/>
      <w:r>
        <w:rPr>
          <w:rFonts w:ascii="Garamond" w:hAnsi="Garamond"/>
          <w:sz w:val="24"/>
        </w:rPr>
        <w:t>ações</w:t>
      </w:r>
      <w:proofErr w:type="spellEnd"/>
      <w:r>
        <w:rPr>
          <w:rFonts w:ascii="Garamond" w:hAnsi="Garamond"/>
          <w:sz w:val="24"/>
        </w:rPr>
        <w:t xml:space="preserve"> de sociedade anônima como valores mobiliários – natureza e efeitos do registro acionário”</w:t>
      </w:r>
      <w:r>
        <w:rPr>
          <w:rFonts w:ascii="Garamond" w:hAnsi="Garamond"/>
          <w:i/>
          <w:sz w:val="24"/>
        </w:rPr>
        <w:t>, Novos ensaios e pareceres de direito empresarial</w:t>
      </w:r>
      <w:r>
        <w:rPr>
          <w:rFonts w:ascii="Garamond" w:hAnsi="Garamond"/>
          <w:sz w:val="24"/>
        </w:rPr>
        <w:t>, Rio de Janeiro, Forense, 1981, p. 16.</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F. </w:t>
      </w:r>
      <w:proofErr w:type="spellStart"/>
      <w:r>
        <w:rPr>
          <w:rFonts w:ascii="Garamond" w:hAnsi="Garamond"/>
          <w:sz w:val="24"/>
        </w:rPr>
        <w:t>Comparato</w:t>
      </w:r>
      <w:proofErr w:type="spellEnd"/>
      <w:r>
        <w:rPr>
          <w:rFonts w:ascii="Garamond" w:hAnsi="Garamond"/>
          <w:sz w:val="24"/>
        </w:rPr>
        <w:t xml:space="preserve">, “Restrições à circulação de ações em companhia fechada: </w:t>
      </w:r>
      <w:r>
        <w:rPr>
          <w:rFonts w:ascii="Garamond" w:hAnsi="Garamond"/>
          <w:i/>
          <w:sz w:val="24"/>
        </w:rPr>
        <w:t xml:space="preserve">nova et </w:t>
      </w:r>
      <w:proofErr w:type="spellStart"/>
      <w:r>
        <w:rPr>
          <w:rFonts w:ascii="Garamond" w:hAnsi="Garamond"/>
          <w:i/>
          <w:sz w:val="24"/>
        </w:rPr>
        <w:t>vetera</w:t>
      </w:r>
      <w:proofErr w:type="spellEnd"/>
      <w:r>
        <w:rPr>
          <w:rFonts w:ascii="Garamond" w:hAnsi="Garamond"/>
          <w:sz w:val="24"/>
        </w:rPr>
        <w:t>”, Novos ensaios e pareceres, cit., p. 32.</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6 - Debêntures e outros valores mobiliários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sz w:val="24"/>
        </w:rPr>
      </w:pPr>
      <w:r>
        <w:rPr>
          <w:rFonts w:ascii="Garamond" w:hAnsi="Garamond"/>
          <w:sz w:val="24"/>
        </w:rPr>
        <w:t xml:space="preserve">Nelson </w:t>
      </w:r>
      <w:proofErr w:type="spellStart"/>
      <w:r>
        <w:rPr>
          <w:rFonts w:ascii="Garamond" w:hAnsi="Garamond"/>
          <w:sz w:val="24"/>
        </w:rPr>
        <w:t>Eizirick</w:t>
      </w:r>
      <w:proofErr w:type="spellEnd"/>
      <w:r>
        <w:rPr>
          <w:rFonts w:ascii="Garamond" w:hAnsi="Garamond"/>
          <w:sz w:val="24"/>
        </w:rPr>
        <w:t>, “Emissão de debêntures”, RDM 101/37.</w:t>
      </w:r>
    </w:p>
    <w:p w:rsidR="009956A0" w:rsidRDefault="009956A0" w:rsidP="009956A0">
      <w:pPr>
        <w:numPr>
          <w:ilvl w:val="0"/>
          <w:numId w:val="0"/>
        </w:numPr>
        <w:rPr>
          <w:rFonts w:ascii="Garamond" w:hAnsi="Garamond"/>
          <w:sz w:val="24"/>
        </w:rPr>
      </w:pPr>
    </w:p>
    <w:p w:rsidR="009956A0" w:rsidRDefault="009956A0" w:rsidP="009956A0">
      <w:pPr>
        <w:numPr>
          <w:ilvl w:val="0"/>
          <w:numId w:val="0"/>
        </w:numPr>
        <w:tabs>
          <w:tab w:val="left" w:pos="5660"/>
        </w:tabs>
        <w:jc w:val="both"/>
        <w:rPr>
          <w:rFonts w:ascii="Garamond" w:hAnsi="Garamond"/>
          <w:sz w:val="24"/>
        </w:rPr>
      </w:pPr>
      <w:r>
        <w:rPr>
          <w:rFonts w:ascii="Garamond" w:hAnsi="Garamond"/>
          <w:sz w:val="24"/>
        </w:rPr>
        <w:t>Ary Oswaldo Mattos Filho, “Valor mobiliário e seu conceito”, RDM 59/30</w:t>
      </w:r>
    </w:p>
    <w:p w:rsidR="009956A0" w:rsidRDefault="009956A0" w:rsidP="009956A0">
      <w:pPr>
        <w:numPr>
          <w:ilvl w:val="0"/>
          <w:numId w:val="0"/>
        </w:numPr>
        <w:tabs>
          <w:tab w:val="left" w:pos="5660"/>
        </w:tabs>
        <w:jc w:val="both"/>
        <w:rPr>
          <w:rFonts w:ascii="Garamond" w:hAnsi="Garamond"/>
          <w:sz w:val="24"/>
        </w:rPr>
      </w:pPr>
    </w:p>
    <w:p w:rsidR="009956A0" w:rsidRDefault="009956A0" w:rsidP="009956A0">
      <w:pPr>
        <w:numPr>
          <w:ilvl w:val="0"/>
          <w:numId w:val="0"/>
        </w:numPr>
        <w:tabs>
          <w:tab w:val="left" w:pos="5660"/>
        </w:tabs>
        <w:jc w:val="both"/>
        <w:rPr>
          <w:rFonts w:ascii="Garamond" w:hAnsi="Garamond"/>
          <w:sz w:val="24"/>
        </w:rPr>
      </w:pPr>
      <w:proofErr w:type="spellStart"/>
      <w:r>
        <w:rPr>
          <w:rFonts w:ascii="Garamond" w:hAnsi="Garamond"/>
          <w:sz w:val="24"/>
        </w:rPr>
        <w:t>Waldírio</w:t>
      </w:r>
      <w:proofErr w:type="spellEnd"/>
      <w:r>
        <w:rPr>
          <w:rFonts w:ascii="Garamond" w:hAnsi="Garamond"/>
          <w:sz w:val="24"/>
        </w:rPr>
        <w:t xml:space="preserve"> </w:t>
      </w:r>
      <w:proofErr w:type="spellStart"/>
      <w:r>
        <w:rPr>
          <w:rFonts w:ascii="Garamond" w:hAnsi="Garamond"/>
          <w:sz w:val="24"/>
        </w:rPr>
        <w:t>Bulgarelli</w:t>
      </w:r>
      <w:proofErr w:type="spellEnd"/>
      <w:r>
        <w:rPr>
          <w:rFonts w:ascii="Garamond" w:hAnsi="Garamond"/>
          <w:sz w:val="24"/>
        </w:rPr>
        <w:t>, “Valores mobiliários como títulos de crédito”, RDM 37/94</w:t>
      </w:r>
    </w:p>
    <w:p w:rsidR="009956A0" w:rsidRDefault="009956A0" w:rsidP="009956A0">
      <w:pPr>
        <w:numPr>
          <w:ilvl w:val="0"/>
          <w:numId w:val="0"/>
        </w:numPr>
        <w:tabs>
          <w:tab w:val="left" w:pos="5660"/>
        </w:tabs>
        <w:jc w:val="both"/>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Marcos Paulo de Almeida Salles, “Os valores mobiliários na lei das S/A”, RDM 107/123</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Nelson </w:t>
      </w:r>
      <w:proofErr w:type="spellStart"/>
      <w:r>
        <w:rPr>
          <w:rFonts w:ascii="Garamond" w:hAnsi="Garamond"/>
          <w:sz w:val="24"/>
        </w:rPr>
        <w:t>Eizirik</w:t>
      </w:r>
      <w:proofErr w:type="spellEnd"/>
      <w:r>
        <w:rPr>
          <w:rFonts w:ascii="Garamond" w:hAnsi="Garamond"/>
          <w:sz w:val="24"/>
        </w:rPr>
        <w:t>, “Os valores mobiliários na Nova Lei das S/A”, RDM 124/72</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Daniel </w:t>
      </w:r>
      <w:proofErr w:type="spellStart"/>
      <w:r>
        <w:rPr>
          <w:rFonts w:ascii="Garamond" w:hAnsi="Garamond"/>
          <w:sz w:val="24"/>
        </w:rPr>
        <w:t>Krepel</w:t>
      </w:r>
      <w:proofErr w:type="spellEnd"/>
      <w:r>
        <w:rPr>
          <w:rFonts w:ascii="Garamond" w:hAnsi="Garamond"/>
          <w:sz w:val="24"/>
        </w:rPr>
        <w:t xml:space="preserve"> Goldberg, “A lei 10.303, de 2001, e a inclusão dos derivativos no rol dos valores mobiliários”, RDM 129/73</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7 - O estado de acionista: direitos, deveres e responsabilidades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sz w:val="24"/>
        </w:rPr>
      </w:pPr>
      <w:r>
        <w:rPr>
          <w:rFonts w:ascii="Garamond" w:hAnsi="Garamond"/>
          <w:sz w:val="24"/>
        </w:rPr>
        <w:t xml:space="preserve">Lacerda Teixeira e Tavares Guerreiro, </w:t>
      </w:r>
      <w:r>
        <w:rPr>
          <w:rFonts w:ascii="Garamond" w:hAnsi="Garamond"/>
          <w:i/>
          <w:sz w:val="24"/>
        </w:rPr>
        <w:t>Das sociedades anônimas no direito brasileiro</w:t>
      </w:r>
      <w:r>
        <w:rPr>
          <w:rFonts w:ascii="Garamond" w:hAnsi="Garamond"/>
          <w:sz w:val="24"/>
        </w:rPr>
        <w:t xml:space="preserve">, São Paulo, 1979, </w:t>
      </w:r>
    </w:p>
    <w:p w:rsidR="009956A0" w:rsidRDefault="009956A0" w:rsidP="009956A0">
      <w:pPr>
        <w:numPr>
          <w:ilvl w:val="0"/>
          <w:numId w:val="0"/>
        </w:numPr>
        <w:jc w:val="both"/>
        <w:rPr>
          <w:rFonts w:ascii="Garamond" w:hAnsi="Garamond"/>
          <w:sz w:val="24"/>
        </w:rPr>
      </w:pPr>
      <w:r>
        <w:rPr>
          <w:rFonts w:ascii="Garamond" w:hAnsi="Garamond"/>
          <w:sz w:val="24"/>
        </w:rPr>
        <w:t>267-290.</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M. Carvalhosa, </w:t>
      </w:r>
      <w:r>
        <w:rPr>
          <w:rFonts w:ascii="Garamond" w:hAnsi="Garamond"/>
          <w:i/>
          <w:sz w:val="24"/>
        </w:rPr>
        <w:t>Comentários à lei de sociedades anônimas</w:t>
      </w:r>
      <w:r>
        <w:rPr>
          <w:rFonts w:ascii="Garamond" w:hAnsi="Garamond"/>
          <w:sz w:val="24"/>
        </w:rPr>
        <w:t>, 4º ed., 2º vol., São Paulo, Saraiva, 2002, p. 247-269; 296-371; 373-418; 438-442.</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L. G. Paes de Barros </w:t>
      </w:r>
      <w:proofErr w:type="spellStart"/>
      <w:r>
        <w:rPr>
          <w:rFonts w:ascii="Garamond" w:hAnsi="Garamond"/>
          <w:sz w:val="24"/>
        </w:rPr>
        <w:t>Leães</w:t>
      </w:r>
      <w:proofErr w:type="spellEnd"/>
      <w:r>
        <w:rPr>
          <w:rFonts w:ascii="Garamond" w:hAnsi="Garamond"/>
          <w:sz w:val="24"/>
        </w:rPr>
        <w:t xml:space="preserve">; “Conflito de interesses”, </w:t>
      </w:r>
      <w:r>
        <w:rPr>
          <w:rFonts w:ascii="Garamond" w:hAnsi="Garamond"/>
          <w:i/>
          <w:sz w:val="24"/>
        </w:rPr>
        <w:t xml:space="preserve">Estudos e pareceres sobre sociedades anônimas, </w:t>
      </w:r>
      <w:r>
        <w:rPr>
          <w:rFonts w:ascii="Garamond" w:hAnsi="Garamond"/>
          <w:sz w:val="24"/>
        </w:rPr>
        <w:t>. p. 9.</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Erasmo </w:t>
      </w:r>
      <w:proofErr w:type="spellStart"/>
      <w:r>
        <w:rPr>
          <w:rFonts w:ascii="Garamond" w:hAnsi="Garamond"/>
          <w:sz w:val="24"/>
        </w:rPr>
        <w:t>Valladão</w:t>
      </w:r>
      <w:proofErr w:type="spellEnd"/>
      <w:r>
        <w:rPr>
          <w:rFonts w:ascii="Garamond" w:hAnsi="Garamond"/>
          <w:sz w:val="24"/>
        </w:rPr>
        <w:t xml:space="preserve"> A. N. França. “Conflito de interesses: formal ou substancial? Nova decisão da CVM sobre a questão”, RDM 128/225.</w:t>
      </w:r>
    </w:p>
    <w:p w:rsidR="009956A0" w:rsidRDefault="009956A0" w:rsidP="009956A0">
      <w:pPr>
        <w:numPr>
          <w:ilvl w:val="0"/>
          <w:numId w:val="0"/>
        </w:numPr>
        <w:jc w:val="both"/>
        <w:rPr>
          <w:rFonts w:ascii="Garamond" w:hAnsi="Garamond"/>
          <w:b/>
          <w:caps/>
          <w:sz w:val="24"/>
        </w:rPr>
      </w:pPr>
    </w:p>
    <w:p w:rsidR="009956A0" w:rsidRDefault="009956A0" w:rsidP="009956A0">
      <w:pPr>
        <w:numPr>
          <w:ilvl w:val="0"/>
          <w:numId w:val="0"/>
        </w:numPr>
        <w:jc w:val="both"/>
        <w:rPr>
          <w:rFonts w:ascii="Garamond" w:hAnsi="Garamond"/>
          <w:b/>
          <w:caps/>
          <w:sz w:val="24"/>
        </w:rPr>
      </w:pPr>
    </w:p>
    <w:p w:rsidR="009956A0" w:rsidRDefault="009956A0" w:rsidP="009956A0">
      <w:pPr>
        <w:numPr>
          <w:ilvl w:val="0"/>
          <w:numId w:val="0"/>
        </w:numPr>
        <w:jc w:val="both"/>
        <w:rPr>
          <w:rFonts w:ascii="Garamond" w:hAnsi="Garamond"/>
          <w:b/>
          <w:caps/>
          <w:sz w:val="24"/>
        </w:rPr>
      </w:pPr>
      <w:r>
        <w:rPr>
          <w:rFonts w:ascii="Garamond" w:hAnsi="Garamond"/>
          <w:b/>
          <w:caps/>
          <w:sz w:val="24"/>
        </w:rPr>
        <w:t>8 - Acionista controlador: Conceito; espécies de controle; deveres e responsabilidades; exercício abusivo do poder de controle</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F. </w:t>
      </w:r>
      <w:proofErr w:type="spellStart"/>
      <w:r>
        <w:rPr>
          <w:rFonts w:ascii="Garamond" w:hAnsi="Garamond"/>
          <w:sz w:val="24"/>
        </w:rPr>
        <w:t>Comparato</w:t>
      </w:r>
      <w:proofErr w:type="spellEnd"/>
      <w:r>
        <w:rPr>
          <w:rFonts w:ascii="Garamond" w:hAnsi="Garamond"/>
          <w:sz w:val="24"/>
        </w:rPr>
        <w:t xml:space="preserve">, </w:t>
      </w:r>
      <w:r>
        <w:rPr>
          <w:rFonts w:ascii="Garamond" w:hAnsi="Garamond"/>
          <w:i/>
          <w:sz w:val="24"/>
        </w:rPr>
        <w:t>Poder de controle na sociedade anônima</w:t>
      </w:r>
      <w:r>
        <w:rPr>
          <w:rFonts w:ascii="Garamond" w:hAnsi="Garamond"/>
          <w:sz w:val="24"/>
        </w:rPr>
        <w:t>, Rio de Janeiro, Forense, 1973, p. 36-103; 294-331.</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9 - Acordo de acionistas.</w:t>
      </w:r>
    </w:p>
    <w:p w:rsidR="009956A0" w:rsidRDefault="009956A0" w:rsidP="009956A0">
      <w:pPr>
        <w:numPr>
          <w:ilvl w:val="0"/>
          <w:numId w:val="0"/>
        </w:numPr>
        <w:rPr>
          <w:rFonts w:ascii="Garamond" w:hAnsi="Garamond"/>
          <w:sz w:val="24"/>
        </w:rPr>
      </w:pPr>
    </w:p>
    <w:p w:rsidR="009956A0" w:rsidRDefault="009956A0" w:rsidP="009956A0">
      <w:pPr>
        <w:numPr>
          <w:ilvl w:val="0"/>
          <w:numId w:val="0"/>
        </w:numPr>
        <w:tabs>
          <w:tab w:val="left" w:pos="5660"/>
        </w:tabs>
        <w:jc w:val="both"/>
        <w:rPr>
          <w:rFonts w:ascii="Garamond" w:hAnsi="Garamond"/>
          <w:sz w:val="24"/>
        </w:rPr>
      </w:pPr>
      <w:r>
        <w:rPr>
          <w:rFonts w:ascii="Garamond" w:hAnsi="Garamond"/>
          <w:sz w:val="24"/>
        </w:rPr>
        <w:t xml:space="preserve">Calixto Salomão Filho, “Acordo de acionistas como instância da estrutura societária”, </w:t>
      </w:r>
      <w:r>
        <w:rPr>
          <w:rFonts w:ascii="Garamond" w:hAnsi="Garamond"/>
          <w:i/>
          <w:sz w:val="24"/>
        </w:rPr>
        <w:t>O novo direito societário</w:t>
      </w:r>
      <w:r>
        <w:rPr>
          <w:rFonts w:ascii="Garamond" w:hAnsi="Garamond"/>
          <w:sz w:val="24"/>
        </w:rPr>
        <w:t>, 2ª ed., São Paulo, Malheiros, p. 94.</w:t>
      </w:r>
    </w:p>
    <w:p w:rsidR="009956A0" w:rsidRDefault="009956A0" w:rsidP="009956A0">
      <w:pPr>
        <w:numPr>
          <w:ilvl w:val="0"/>
          <w:numId w:val="0"/>
        </w:numPr>
        <w:tabs>
          <w:tab w:val="left" w:pos="5660"/>
        </w:tabs>
        <w:jc w:val="both"/>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Acordo de acionistas – Modesto Carvalhosa – RDM 106/20</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Acordo de acionistas: panorama atual do instituto no Direito brasileiro e propostas para a reforma de sua disciplina legal – Celso Barbi Filho – RDM 121/30</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Acordo de acionistas e poder de controle do acionista majoritário – Arnoldo Wald – RDM 110/7</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Execução específica de obrigações convencionadas em acordo de acionistas – Raphael </w:t>
      </w:r>
      <w:proofErr w:type="spellStart"/>
      <w:r>
        <w:rPr>
          <w:rFonts w:ascii="Garamond" w:hAnsi="Garamond"/>
          <w:sz w:val="24"/>
        </w:rPr>
        <w:t>Nehin</w:t>
      </w:r>
      <w:proofErr w:type="spellEnd"/>
      <w:r>
        <w:rPr>
          <w:rFonts w:ascii="Garamond" w:hAnsi="Garamond"/>
          <w:sz w:val="24"/>
        </w:rPr>
        <w:t xml:space="preserve"> Corrêa – RDM 107/212</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Validade de disposições de acordo de acionistas de votarem em bloco, assegurando a política gerencial única e necessária – </w:t>
      </w:r>
      <w:proofErr w:type="spellStart"/>
      <w:r>
        <w:rPr>
          <w:rFonts w:ascii="Garamond" w:hAnsi="Garamond"/>
          <w:sz w:val="24"/>
        </w:rPr>
        <w:t>Waldirio</w:t>
      </w:r>
      <w:proofErr w:type="spellEnd"/>
      <w:r>
        <w:rPr>
          <w:rFonts w:ascii="Garamond" w:hAnsi="Garamond"/>
          <w:sz w:val="24"/>
        </w:rPr>
        <w:t xml:space="preserve"> </w:t>
      </w:r>
      <w:proofErr w:type="spellStart"/>
      <w:r>
        <w:rPr>
          <w:rFonts w:ascii="Garamond" w:hAnsi="Garamond"/>
          <w:sz w:val="24"/>
        </w:rPr>
        <w:t>Bulgarelli</w:t>
      </w:r>
      <w:proofErr w:type="spellEnd"/>
      <w:r>
        <w:rPr>
          <w:rFonts w:ascii="Garamond" w:hAnsi="Garamond"/>
          <w:sz w:val="24"/>
        </w:rPr>
        <w:t xml:space="preserve"> – RDM 123/185</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Acordos de acionistas sobre o exercício do poder de controle (Análise das principais alterações introduzidas no art. 118 da Lei das S/A pela Lei 10.303/2001) – Miguel </w:t>
      </w:r>
      <w:proofErr w:type="spellStart"/>
      <w:r>
        <w:rPr>
          <w:rFonts w:ascii="Garamond" w:hAnsi="Garamond"/>
          <w:sz w:val="24"/>
        </w:rPr>
        <w:t>Tornovsky</w:t>
      </w:r>
      <w:proofErr w:type="spellEnd"/>
      <w:r>
        <w:rPr>
          <w:rFonts w:ascii="Garamond" w:hAnsi="Garamond"/>
          <w:sz w:val="24"/>
        </w:rPr>
        <w:t xml:space="preserve"> – RDM 127/93</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Acordo de acionistas – Arquivamento na sede social – Vinculação dos administradores de sociedade controlada  - Nelson </w:t>
      </w:r>
      <w:proofErr w:type="spellStart"/>
      <w:r>
        <w:rPr>
          <w:rFonts w:ascii="Garamond" w:hAnsi="Garamond"/>
          <w:sz w:val="24"/>
        </w:rPr>
        <w:t>Eizirik</w:t>
      </w:r>
      <w:proofErr w:type="spellEnd"/>
      <w:r>
        <w:rPr>
          <w:rFonts w:ascii="Garamond" w:hAnsi="Garamond"/>
          <w:sz w:val="24"/>
        </w:rPr>
        <w:t xml:space="preserve"> – RDM 129/45</w:t>
      </w:r>
    </w:p>
    <w:p w:rsidR="009956A0" w:rsidRDefault="009956A0" w:rsidP="009956A0">
      <w:pPr>
        <w:numPr>
          <w:ilvl w:val="0"/>
          <w:numId w:val="0"/>
        </w:numPr>
        <w:tabs>
          <w:tab w:val="num" w:pos="7441"/>
          <w:tab w:val="left" w:pos="8859"/>
        </w:tabs>
        <w:rPr>
          <w:rFonts w:ascii="Garamond" w:hAnsi="Garamond"/>
          <w:sz w:val="24"/>
        </w:rPr>
      </w:pPr>
    </w:p>
    <w:p w:rsidR="009956A0" w:rsidRDefault="009956A0" w:rsidP="009956A0">
      <w:pPr>
        <w:numPr>
          <w:ilvl w:val="0"/>
          <w:numId w:val="0"/>
        </w:numPr>
        <w:tabs>
          <w:tab w:val="num" w:pos="7441"/>
          <w:tab w:val="left" w:pos="8859"/>
        </w:tabs>
        <w:rPr>
          <w:rFonts w:ascii="Garamond" w:hAnsi="Garamond"/>
          <w:sz w:val="24"/>
        </w:rPr>
      </w:pPr>
      <w:r>
        <w:rPr>
          <w:rFonts w:ascii="Garamond" w:hAnsi="Garamond"/>
          <w:sz w:val="24"/>
        </w:rPr>
        <w:t>Acordo de acionistas sobre controle de grupo de sociedades. Validade de estipulação de que os membros do conselho de administração de controladas devem votar em bloco segundo orientação definida pelo grupo controlador. José Luiz Bulhões Pedreira. - RDBMC 15/226</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10 - Assembléia geral dos acionistas.</w:t>
      </w:r>
    </w:p>
    <w:p w:rsidR="009956A0" w:rsidRDefault="009956A0" w:rsidP="009956A0">
      <w:pPr>
        <w:numPr>
          <w:ilvl w:val="0"/>
          <w:numId w:val="0"/>
        </w:numPr>
        <w:rPr>
          <w:rFonts w:ascii="Garamond" w:hAnsi="Garamond"/>
          <w:sz w:val="24"/>
        </w:rPr>
      </w:pPr>
      <w:r>
        <w:rPr>
          <w:rFonts w:ascii="Garamond" w:hAnsi="Garamond"/>
          <w:sz w:val="24"/>
        </w:rPr>
        <w:tab/>
      </w:r>
    </w:p>
    <w:p w:rsidR="009956A0" w:rsidRDefault="009956A0" w:rsidP="009956A0">
      <w:pPr>
        <w:numPr>
          <w:ilvl w:val="0"/>
          <w:numId w:val="0"/>
        </w:numPr>
        <w:rPr>
          <w:rFonts w:ascii="Garamond" w:hAnsi="Garamond"/>
          <w:b/>
          <w:caps/>
          <w:sz w:val="24"/>
        </w:rPr>
      </w:pPr>
      <w:r>
        <w:rPr>
          <w:rFonts w:ascii="Garamond" w:hAnsi="Garamond"/>
          <w:b/>
          <w:caps/>
          <w:sz w:val="24"/>
        </w:rPr>
        <w:t>11 - Conselho de Administração e Diretoria.</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12 - Conselho Fiscal e poderes de fiscalização direta do acionista</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jc w:val="both"/>
        <w:rPr>
          <w:rFonts w:ascii="Garamond" w:hAnsi="Garamond"/>
          <w:b/>
          <w:caps/>
          <w:sz w:val="24"/>
        </w:rPr>
      </w:pPr>
      <w:r>
        <w:rPr>
          <w:rFonts w:ascii="Garamond" w:hAnsi="Garamond"/>
          <w:b/>
          <w:caps/>
          <w:sz w:val="24"/>
        </w:rPr>
        <w:t xml:space="preserve">13 - Deveres e responsabilidades dos administradores. </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14 - Aumento e redução do capital social.</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15 - Demonstrações financeiras. Lucros e distribuição.</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16 - Negócios sobre o controle acionário.</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17  - Transformação, incorporação, fusão e cisão das sociedades.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18 - Grupos societários.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19 - Sociedade de economia mista</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20 - Instrumentos de planejamento societário e mecanismos de resolução de conflitos.</w:t>
      </w:r>
    </w:p>
    <w:p w:rsidR="009956A0" w:rsidRDefault="009956A0" w:rsidP="009956A0">
      <w:pPr>
        <w:numPr>
          <w:ilvl w:val="0"/>
          <w:numId w:val="0"/>
        </w:numPr>
        <w:rPr>
          <w:rFonts w:ascii="Garamond" w:hAnsi="Garamond"/>
          <w:sz w:val="24"/>
        </w:rPr>
      </w:pPr>
    </w:p>
    <w:p w:rsidR="009956A0" w:rsidRDefault="009956A0" w:rsidP="009956A0">
      <w:pPr>
        <w:numPr>
          <w:ilvl w:val="0"/>
          <w:numId w:val="2"/>
        </w:numPr>
        <w:rPr>
          <w:rFonts w:ascii="Garamond" w:hAnsi="Garamond"/>
          <w:sz w:val="24"/>
        </w:rPr>
      </w:pPr>
      <w:r>
        <w:rPr>
          <w:rFonts w:ascii="Garamond" w:hAnsi="Garamond"/>
          <w:sz w:val="24"/>
        </w:rPr>
        <w:t xml:space="preserve">Fixação do </w:t>
      </w:r>
      <w:proofErr w:type="spellStart"/>
      <w:r>
        <w:rPr>
          <w:rFonts w:ascii="Garamond" w:hAnsi="Garamond"/>
          <w:i/>
          <w:sz w:val="24"/>
        </w:rPr>
        <w:t>quorum</w:t>
      </w:r>
      <w:proofErr w:type="spellEnd"/>
      <w:r>
        <w:rPr>
          <w:rFonts w:ascii="Garamond" w:hAnsi="Garamond"/>
          <w:i/>
          <w:sz w:val="24"/>
        </w:rPr>
        <w:t xml:space="preserve"> </w:t>
      </w:r>
      <w:r>
        <w:rPr>
          <w:rFonts w:ascii="Garamond" w:hAnsi="Garamond"/>
          <w:sz w:val="24"/>
        </w:rPr>
        <w:t>de deliberação;</w:t>
      </w:r>
    </w:p>
    <w:p w:rsidR="009956A0" w:rsidRDefault="009956A0" w:rsidP="009956A0">
      <w:pPr>
        <w:numPr>
          <w:ilvl w:val="0"/>
          <w:numId w:val="2"/>
        </w:numPr>
        <w:rPr>
          <w:rFonts w:ascii="Garamond" w:hAnsi="Garamond"/>
          <w:sz w:val="24"/>
        </w:rPr>
      </w:pPr>
      <w:r>
        <w:rPr>
          <w:rFonts w:ascii="Garamond" w:hAnsi="Garamond"/>
          <w:sz w:val="24"/>
        </w:rPr>
        <w:t>ações preferenciais;</w:t>
      </w:r>
    </w:p>
    <w:p w:rsidR="009956A0" w:rsidRDefault="009956A0" w:rsidP="009956A0">
      <w:pPr>
        <w:numPr>
          <w:ilvl w:val="0"/>
          <w:numId w:val="2"/>
        </w:numPr>
        <w:rPr>
          <w:rFonts w:ascii="Garamond" w:hAnsi="Garamond"/>
          <w:sz w:val="24"/>
        </w:rPr>
      </w:pPr>
      <w:r>
        <w:rPr>
          <w:rFonts w:ascii="Garamond" w:hAnsi="Garamond"/>
          <w:sz w:val="24"/>
        </w:rPr>
        <w:t>classes de ações ordinárias;</w:t>
      </w:r>
    </w:p>
    <w:p w:rsidR="009956A0" w:rsidRDefault="009956A0" w:rsidP="009956A0">
      <w:pPr>
        <w:numPr>
          <w:ilvl w:val="0"/>
          <w:numId w:val="2"/>
        </w:numPr>
        <w:rPr>
          <w:rFonts w:ascii="Garamond" w:hAnsi="Garamond"/>
          <w:sz w:val="24"/>
        </w:rPr>
      </w:pPr>
      <w:r>
        <w:rPr>
          <w:rFonts w:ascii="Garamond" w:hAnsi="Garamond"/>
          <w:sz w:val="24"/>
        </w:rPr>
        <w:t>acordo de acionistas;</w:t>
      </w:r>
    </w:p>
    <w:p w:rsidR="009956A0" w:rsidRDefault="009956A0" w:rsidP="009956A0">
      <w:pPr>
        <w:numPr>
          <w:ilvl w:val="0"/>
          <w:numId w:val="2"/>
        </w:numPr>
        <w:rPr>
          <w:rFonts w:ascii="Garamond" w:hAnsi="Garamond"/>
          <w:sz w:val="24"/>
        </w:rPr>
      </w:pPr>
      <w:r>
        <w:rPr>
          <w:rFonts w:ascii="Garamond" w:hAnsi="Garamond"/>
          <w:sz w:val="24"/>
        </w:rPr>
        <w:t>grupos societários;</w:t>
      </w:r>
    </w:p>
    <w:p w:rsidR="009956A0" w:rsidRDefault="009956A0" w:rsidP="009956A0">
      <w:pPr>
        <w:numPr>
          <w:ilvl w:val="0"/>
          <w:numId w:val="2"/>
        </w:numPr>
        <w:rPr>
          <w:rFonts w:ascii="Garamond" w:hAnsi="Garamond"/>
          <w:sz w:val="24"/>
        </w:rPr>
      </w:pPr>
      <w:r>
        <w:rPr>
          <w:rFonts w:ascii="Garamond" w:hAnsi="Garamond"/>
          <w:sz w:val="24"/>
        </w:rPr>
        <w:t>convenção de arbitragem.</w:t>
      </w:r>
    </w:p>
    <w:p w:rsidR="009956A0" w:rsidRDefault="009956A0" w:rsidP="009956A0">
      <w:pPr>
        <w:numPr>
          <w:ilvl w:val="0"/>
          <w:numId w:val="0"/>
        </w:numPr>
        <w:rPr>
          <w:rFonts w:ascii="Garamond" w:hAnsi="Garamond"/>
          <w:sz w:val="24"/>
        </w:rPr>
      </w:pPr>
    </w:p>
    <w:p w:rsidR="009956A0" w:rsidRPr="009956A0" w:rsidRDefault="009956A0" w:rsidP="009956A0">
      <w:pPr>
        <w:numPr>
          <w:ilvl w:val="0"/>
          <w:numId w:val="0"/>
        </w:numPr>
        <w:rPr>
          <w:rFonts w:ascii="Garamond" w:hAnsi="Garamond"/>
          <w:b/>
          <w:caps/>
          <w:sz w:val="24"/>
        </w:rPr>
      </w:pPr>
      <w:r>
        <w:rPr>
          <w:rFonts w:ascii="Garamond" w:hAnsi="Garamond"/>
          <w:b/>
          <w:caps/>
          <w:sz w:val="24"/>
        </w:rPr>
        <w:t>21 - Dissolução e liquidação.</w:t>
      </w:r>
    </w:p>
    <w:p w:rsidR="00272EC4" w:rsidRPr="009956A0" w:rsidRDefault="00272EC4" w:rsidP="009956A0">
      <w:pPr>
        <w:numPr>
          <w:ilvl w:val="0"/>
          <w:numId w:val="0"/>
        </w:numPr>
      </w:pPr>
    </w:p>
    <w:sectPr w:rsidR="00272EC4" w:rsidRPr="009956A0" w:rsidSect="00272EC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C87"/>
    <w:multiLevelType w:val="multilevel"/>
    <w:tmpl w:val="41305E32"/>
    <w:lvl w:ilvl="0">
      <w:start w:val="1"/>
      <w:numFmt w:val="decimal"/>
      <w:lvlText w:val="%1."/>
      <w:lvlJc w:val="left"/>
      <w:pPr>
        <w:tabs>
          <w:tab w:val="num" w:pos="360"/>
        </w:tabs>
        <w:ind w:left="360" w:hanging="360"/>
      </w:pPr>
      <w:rPr>
        <w:rFonts w:ascii="Bookman Old Style" w:hAnsi="Bookman Old Style" w:hint="default"/>
        <w:sz w:val="24"/>
      </w:rPr>
    </w:lvl>
    <w:lvl w:ilvl="1">
      <w:start w:val="1"/>
      <w:numFmt w:val="decimal"/>
      <w:pStyle w:val="Normal"/>
      <w:isLgl/>
      <w:lvlText w:val="%1.%2."/>
      <w:lvlJc w:val="left"/>
      <w:pPr>
        <w:tabs>
          <w:tab w:val="num" w:pos="1425"/>
        </w:tabs>
        <w:ind w:left="1425" w:hanging="720"/>
      </w:pPr>
      <w:rPr>
        <w:rFonts w:hint="default"/>
      </w:rPr>
    </w:lvl>
    <w:lvl w:ilvl="2">
      <w:start w:val="1"/>
      <w:numFmt w:val="decimal"/>
      <w:pStyle w:val="Normal"/>
      <w:isLgl/>
      <w:lvlText w:val="%1.%2.%3."/>
      <w:lvlJc w:val="left"/>
      <w:pPr>
        <w:tabs>
          <w:tab w:val="num" w:pos="2130"/>
        </w:tabs>
        <w:ind w:left="2130" w:hanging="720"/>
      </w:pPr>
      <w:rPr>
        <w:rFonts w:hint="default"/>
      </w:rPr>
    </w:lvl>
    <w:lvl w:ilvl="3">
      <w:start w:val="1"/>
      <w:numFmt w:val="decimal"/>
      <w:pStyle w:val="Normal"/>
      <w:isLgl/>
      <w:lvlText w:val="%1.%2.%3.%4."/>
      <w:lvlJc w:val="left"/>
      <w:pPr>
        <w:tabs>
          <w:tab w:val="num" w:pos="3195"/>
        </w:tabs>
        <w:ind w:left="3195" w:hanging="1080"/>
      </w:pPr>
      <w:rPr>
        <w:rFonts w:hint="default"/>
      </w:rPr>
    </w:lvl>
    <w:lvl w:ilvl="4">
      <w:start w:val="1"/>
      <w:numFmt w:val="decimal"/>
      <w:pStyle w:val="Normal"/>
      <w:isLgl/>
      <w:lvlText w:val="%1.%2.%3.%4.%5."/>
      <w:lvlJc w:val="left"/>
      <w:pPr>
        <w:tabs>
          <w:tab w:val="num" w:pos="4260"/>
        </w:tabs>
        <w:ind w:left="4260" w:hanging="1440"/>
      </w:pPr>
      <w:rPr>
        <w:rFonts w:hint="default"/>
      </w:rPr>
    </w:lvl>
    <w:lvl w:ilvl="5">
      <w:start w:val="1"/>
      <w:numFmt w:val="decimal"/>
      <w:pStyle w:val="Normal"/>
      <w:isLgl/>
      <w:lvlText w:val="%1.%2.%3.%4.%5.%6."/>
      <w:lvlJc w:val="left"/>
      <w:pPr>
        <w:tabs>
          <w:tab w:val="num" w:pos="4965"/>
        </w:tabs>
        <w:ind w:left="4965" w:hanging="1440"/>
      </w:pPr>
      <w:rPr>
        <w:rFonts w:hint="default"/>
      </w:rPr>
    </w:lvl>
    <w:lvl w:ilvl="6">
      <w:start w:val="1"/>
      <w:numFmt w:val="decimal"/>
      <w:pStyle w:val="Normal"/>
      <w:isLgl/>
      <w:lvlText w:val="%1.%2.%3.%4.%5.%6.%7."/>
      <w:lvlJc w:val="left"/>
      <w:pPr>
        <w:tabs>
          <w:tab w:val="num" w:pos="6030"/>
        </w:tabs>
        <w:ind w:left="6030" w:hanging="1800"/>
      </w:pPr>
      <w:rPr>
        <w:rFonts w:hint="default"/>
      </w:rPr>
    </w:lvl>
    <w:lvl w:ilvl="7">
      <w:start w:val="1"/>
      <w:numFmt w:val="decimal"/>
      <w:pStyle w:val="Normal"/>
      <w:isLgl/>
      <w:lvlText w:val="%1.%2.%3.%4.%5.%6.%7.%8."/>
      <w:lvlJc w:val="left"/>
      <w:pPr>
        <w:tabs>
          <w:tab w:val="num" w:pos="6735"/>
        </w:tabs>
        <w:ind w:left="6735" w:hanging="1800"/>
      </w:pPr>
      <w:rPr>
        <w:rFonts w:hint="default"/>
      </w:rPr>
    </w:lvl>
    <w:lvl w:ilvl="8">
      <w:start w:val="1"/>
      <w:numFmt w:val="decimal"/>
      <w:pStyle w:val="Normal"/>
      <w:isLgl/>
      <w:lvlText w:val="%1.%2.%3.%4.%5.%6.%7.%8.%9."/>
      <w:lvlJc w:val="left"/>
      <w:pPr>
        <w:tabs>
          <w:tab w:val="num" w:pos="7800"/>
        </w:tabs>
        <w:ind w:left="7800" w:hanging="2160"/>
      </w:pPr>
      <w:rPr>
        <w:rFonts w:hint="default"/>
      </w:rPr>
    </w:lvl>
  </w:abstractNum>
  <w:abstractNum w:abstractNumId="1">
    <w:nsid w:val="219E7410"/>
    <w:multiLevelType w:val="singleLevel"/>
    <w:tmpl w:val="BA667CA4"/>
    <w:lvl w:ilvl="0">
      <w:start w:val="10"/>
      <w:numFmt w:val="bullet"/>
      <w:lvlText w:val="-"/>
      <w:lvlJc w:val="left"/>
      <w:pPr>
        <w:tabs>
          <w:tab w:val="num" w:pos="1065"/>
        </w:tabs>
        <w:ind w:left="1065" w:hanging="360"/>
      </w:pPr>
      <w:rPr>
        <w:rFonts w:ascii="Times New Roman" w:hAnsi="Times New Roman" w:hint="default"/>
      </w:rPr>
    </w:lvl>
  </w:abstractNum>
  <w:abstractNum w:abstractNumId="2">
    <w:nsid w:val="63B02CFC"/>
    <w:multiLevelType w:val="singleLevel"/>
    <w:tmpl w:val="F7727CAC"/>
    <w:lvl w:ilvl="0">
      <w:start w:val="12"/>
      <w:numFmt w:val="bullet"/>
      <w:lvlText w:val="-"/>
      <w:lvlJc w:val="left"/>
      <w:pPr>
        <w:tabs>
          <w:tab w:val="num" w:pos="1068"/>
        </w:tabs>
        <w:ind w:left="1068"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A0"/>
    <w:rsid w:val="00134F94"/>
    <w:rsid w:val="00272EC4"/>
    <w:rsid w:val="009956A0"/>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A0"/>
    <w:pPr>
      <w:numPr>
        <w:ilvl w:val="8"/>
        <w:numId w:val="1"/>
      </w:numPr>
    </w:pPr>
    <w:rPr>
      <w:rFonts w:ascii="Times New Roman" w:eastAsia="Times New Roman" w:hAnsi="Times New Roman" w:cs="Times New Roman"/>
      <w:sz w:val="20"/>
      <w:szCs w:val="20"/>
      <w:lang w:eastAsia="pt-BR"/>
    </w:rPr>
  </w:style>
  <w:style w:type="paragraph" w:styleId="Heading1">
    <w:name w:val="heading 1"/>
    <w:basedOn w:val="Normal"/>
    <w:next w:val="Normal"/>
    <w:link w:val="Heading1Char"/>
    <w:qFormat/>
    <w:rsid w:val="009956A0"/>
    <w:pPr>
      <w:keepNext/>
      <w:tabs>
        <w:tab w:val="left" w:pos="5660"/>
      </w:tabs>
      <w:jc w:val="center"/>
      <w:outlineLvl w:val="0"/>
    </w:pPr>
    <w:rPr>
      <w:rFonts w:ascii="Bookman Old Style" w:hAnsi="Bookman Old Style"/>
      <w:b/>
      <w:sz w:val="36"/>
    </w:rPr>
  </w:style>
  <w:style w:type="paragraph" w:styleId="Heading3">
    <w:name w:val="heading 3"/>
    <w:basedOn w:val="Normal"/>
    <w:next w:val="Normal"/>
    <w:link w:val="Heading3Char"/>
    <w:uiPriority w:val="9"/>
    <w:semiHidden/>
    <w:unhideWhenUsed/>
    <w:qFormat/>
    <w:rsid w:val="009956A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9956A0"/>
    <w:pPr>
      <w:keepNext/>
      <w:numPr>
        <w:ilvl w:val="0"/>
        <w:numId w:val="0"/>
      </w:numPr>
      <w:spacing w:line="240" w:lineRule="exact"/>
      <w:outlineLvl w:val="6"/>
    </w:pPr>
    <w:rPr>
      <w:rFonts w:ascii="Garamond" w:hAnsi="Garamond"/>
      <w:color w:val="0000FF"/>
      <w:sz w:val="24"/>
    </w:rPr>
  </w:style>
  <w:style w:type="paragraph" w:styleId="Heading8">
    <w:name w:val="heading 8"/>
    <w:basedOn w:val="Normal"/>
    <w:next w:val="Normal"/>
    <w:link w:val="Heading8Char"/>
    <w:qFormat/>
    <w:rsid w:val="009956A0"/>
    <w:pPr>
      <w:keepNext/>
      <w:numPr>
        <w:ilvl w:val="0"/>
        <w:numId w:val="0"/>
      </w:numPr>
      <w:outlineLvl w:val="7"/>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6A0"/>
    <w:rPr>
      <w:rFonts w:ascii="Bookman Old Style" w:eastAsia="Times New Roman" w:hAnsi="Bookman Old Style" w:cs="Times New Roman"/>
      <w:b/>
      <w:sz w:val="36"/>
      <w:szCs w:val="20"/>
      <w:lang w:eastAsia="pt-BR"/>
    </w:rPr>
  </w:style>
  <w:style w:type="character" w:customStyle="1" w:styleId="Heading7Char">
    <w:name w:val="Heading 7 Char"/>
    <w:basedOn w:val="DefaultParagraphFont"/>
    <w:link w:val="Heading7"/>
    <w:rsid w:val="009956A0"/>
    <w:rPr>
      <w:rFonts w:ascii="Garamond" w:eastAsia="Times New Roman" w:hAnsi="Garamond" w:cs="Times New Roman"/>
      <w:color w:val="0000FF"/>
      <w:szCs w:val="20"/>
      <w:lang w:eastAsia="pt-BR"/>
    </w:rPr>
  </w:style>
  <w:style w:type="character" w:customStyle="1" w:styleId="Heading8Char">
    <w:name w:val="Heading 8 Char"/>
    <w:basedOn w:val="DefaultParagraphFont"/>
    <w:link w:val="Heading8"/>
    <w:rsid w:val="009956A0"/>
    <w:rPr>
      <w:rFonts w:ascii="Garamond" w:eastAsia="Times New Roman" w:hAnsi="Garamond" w:cs="Times New Roman"/>
      <w:b/>
      <w:szCs w:val="20"/>
      <w:lang w:eastAsia="pt-BR"/>
    </w:rPr>
  </w:style>
  <w:style w:type="character" w:customStyle="1" w:styleId="Heading3Char">
    <w:name w:val="Heading 3 Char"/>
    <w:basedOn w:val="DefaultParagraphFont"/>
    <w:link w:val="Heading3"/>
    <w:uiPriority w:val="9"/>
    <w:semiHidden/>
    <w:rsid w:val="009956A0"/>
    <w:rPr>
      <w:rFonts w:asciiTheme="majorHAnsi" w:eastAsiaTheme="majorEastAsia" w:hAnsiTheme="majorHAnsi" w:cstheme="majorBidi"/>
      <w:b/>
      <w:bCs/>
      <w:color w:val="4F81BD" w:themeColor="accent1"/>
      <w:sz w:val="20"/>
      <w:szCs w:val="20"/>
      <w:lang w:eastAsia="pt-BR"/>
    </w:rPr>
  </w:style>
  <w:style w:type="paragraph" w:styleId="BodyText">
    <w:name w:val="Body Text"/>
    <w:basedOn w:val="Normal"/>
    <w:link w:val="BodyTextChar"/>
    <w:rsid w:val="009956A0"/>
    <w:pPr>
      <w:numPr>
        <w:ilvl w:val="0"/>
        <w:numId w:val="0"/>
      </w:numPr>
      <w:spacing w:before="120" w:after="120"/>
      <w:jc w:val="both"/>
    </w:pPr>
    <w:rPr>
      <w:rFonts w:ascii="Arial" w:hAnsi="Arial"/>
      <w:sz w:val="24"/>
    </w:rPr>
  </w:style>
  <w:style w:type="character" w:customStyle="1" w:styleId="BodyTextChar">
    <w:name w:val="Body Text Char"/>
    <w:basedOn w:val="DefaultParagraphFont"/>
    <w:link w:val="BodyText"/>
    <w:rsid w:val="009956A0"/>
    <w:rPr>
      <w:rFonts w:ascii="Arial" w:eastAsia="Times New Roman" w:hAnsi="Arial" w:cs="Times New Roman"/>
      <w:szCs w:val="20"/>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A0"/>
    <w:pPr>
      <w:numPr>
        <w:ilvl w:val="8"/>
        <w:numId w:val="1"/>
      </w:numPr>
    </w:pPr>
    <w:rPr>
      <w:rFonts w:ascii="Times New Roman" w:eastAsia="Times New Roman" w:hAnsi="Times New Roman" w:cs="Times New Roman"/>
      <w:sz w:val="20"/>
      <w:szCs w:val="20"/>
      <w:lang w:eastAsia="pt-BR"/>
    </w:rPr>
  </w:style>
  <w:style w:type="paragraph" w:styleId="Heading1">
    <w:name w:val="heading 1"/>
    <w:basedOn w:val="Normal"/>
    <w:next w:val="Normal"/>
    <w:link w:val="Heading1Char"/>
    <w:qFormat/>
    <w:rsid w:val="009956A0"/>
    <w:pPr>
      <w:keepNext/>
      <w:tabs>
        <w:tab w:val="left" w:pos="5660"/>
      </w:tabs>
      <w:jc w:val="center"/>
      <w:outlineLvl w:val="0"/>
    </w:pPr>
    <w:rPr>
      <w:rFonts w:ascii="Bookman Old Style" w:hAnsi="Bookman Old Style"/>
      <w:b/>
      <w:sz w:val="36"/>
    </w:rPr>
  </w:style>
  <w:style w:type="paragraph" w:styleId="Heading3">
    <w:name w:val="heading 3"/>
    <w:basedOn w:val="Normal"/>
    <w:next w:val="Normal"/>
    <w:link w:val="Heading3Char"/>
    <w:uiPriority w:val="9"/>
    <w:semiHidden/>
    <w:unhideWhenUsed/>
    <w:qFormat/>
    <w:rsid w:val="009956A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9956A0"/>
    <w:pPr>
      <w:keepNext/>
      <w:numPr>
        <w:ilvl w:val="0"/>
        <w:numId w:val="0"/>
      </w:numPr>
      <w:spacing w:line="240" w:lineRule="exact"/>
      <w:outlineLvl w:val="6"/>
    </w:pPr>
    <w:rPr>
      <w:rFonts w:ascii="Garamond" w:hAnsi="Garamond"/>
      <w:color w:val="0000FF"/>
      <w:sz w:val="24"/>
    </w:rPr>
  </w:style>
  <w:style w:type="paragraph" w:styleId="Heading8">
    <w:name w:val="heading 8"/>
    <w:basedOn w:val="Normal"/>
    <w:next w:val="Normal"/>
    <w:link w:val="Heading8Char"/>
    <w:qFormat/>
    <w:rsid w:val="009956A0"/>
    <w:pPr>
      <w:keepNext/>
      <w:numPr>
        <w:ilvl w:val="0"/>
        <w:numId w:val="0"/>
      </w:numPr>
      <w:outlineLvl w:val="7"/>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6A0"/>
    <w:rPr>
      <w:rFonts w:ascii="Bookman Old Style" w:eastAsia="Times New Roman" w:hAnsi="Bookman Old Style" w:cs="Times New Roman"/>
      <w:b/>
      <w:sz w:val="36"/>
      <w:szCs w:val="20"/>
      <w:lang w:eastAsia="pt-BR"/>
    </w:rPr>
  </w:style>
  <w:style w:type="character" w:customStyle="1" w:styleId="Heading7Char">
    <w:name w:val="Heading 7 Char"/>
    <w:basedOn w:val="DefaultParagraphFont"/>
    <w:link w:val="Heading7"/>
    <w:rsid w:val="009956A0"/>
    <w:rPr>
      <w:rFonts w:ascii="Garamond" w:eastAsia="Times New Roman" w:hAnsi="Garamond" w:cs="Times New Roman"/>
      <w:color w:val="0000FF"/>
      <w:szCs w:val="20"/>
      <w:lang w:eastAsia="pt-BR"/>
    </w:rPr>
  </w:style>
  <w:style w:type="character" w:customStyle="1" w:styleId="Heading8Char">
    <w:name w:val="Heading 8 Char"/>
    <w:basedOn w:val="DefaultParagraphFont"/>
    <w:link w:val="Heading8"/>
    <w:rsid w:val="009956A0"/>
    <w:rPr>
      <w:rFonts w:ascii="Garamond" w:eastAsia="Times New Roman" w:hAnsi="Garamond" w:cs="Times New Roman"/>
      <w:b/>
      <w:szCs w:val="20"/>
      <w:lang w:eastAsia="pt-BR"/>
    </w:rPr>
  </w:style>
  <w:style w:type="character" w:customStyle="1" w:styleId="Heading3Char">
    <w:name w:val="Heading 3 Char"/>
    <w:basedOn w:val="DefaultParagraphFont"/>
    <w:link w:val="Heading3"/>
    <w:uiPriority w:val="9"/>
    <w:semiHidden/>
    <w:rsid w:val="009956A0"/>
    <w:rPr>
      <w:rFonts w:asciiTheme="majorHAnsi" w:eastAsiaTheme="majorEastAsia" w:hAnsiTheme="majorHAnsi" w:cstheme="majorBidi"/>
      <w:b/>
      <w:bCs/>
      <w:color w:val="4F81BD" w:themeColor="accent1"/>
      <w:sz w:val="20"/>
      <w:szCs w:val="20"/>
      <w:lang w:eastAsia="pt-BR"/>
    </w:rPr>
  </w:style>
  <w:style w:type="paragraph" w:styleId="BodyText">
    <w:name w:val="Body Text"/>
    <w:basedOn w:val="Normal"/>
    <w:link w:val="BodyTextChar"/>
    <w:rsid w:val="009956A0"/>
    <w:pPr>
      <w:numPr>
        <w:ilvl w:val="0"/>
        <w:numId w:val="0"/>
      </w:numPr>
      <w:spacing w:before="120" w:after="120"/>
      <w:jc w:val="both"/>
    </w:pPr>
    <w:rPr>
      <w:rFonts w:ascii="Arial" w:hAnsi="Arial"/>
      <w:sz w:val="24"/>
    </w:rPr>
  </w:style>
  <w:style w:type="character" w:customStyle="1" w:styleId="BodyTextChar">
    <w:name w:val="Body Text Char"/>
    <w:basedOn w:val="DefaultParagraphFont"/>
    <w:link w:val="BodyText"/>
    <w:rsid w:val="009956A0"/>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824</Words>
  <Characters>4698</Characters>
  <Application>Microsoft Macintosh Word</Application>
  <DocSecurity>0</DocSecurity>
  <Lines>39</Lines>
  <Paragraphs>11</Paragraphs>
  <ScaleCrop>false</ScaleCrop>
  <Company>0652</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Mattos  Filho</dc:creator>
  <cp:keywords/>
  <dc:description/>
  <cp:lastModifiedBy>Eduardo Munhoz</cp:lastModifiedBy>
  <cp:revision>2</cp:revision>
  <dcterms:created xsi:type="dcterms:W3CDTF">2015-03-02T00:00:00Z</dcterms:created>
  <dcterms:modified xsi:type="dcterms:W3CDTF">2015-03-02T00:00:00Z</dcterms:modified>
</cp:coreProperties>
</file>