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Professores Responsáveis</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 Wolney Lisboa Conde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18"/>
          <w:szCs w:val="18"/>
          <w:u w:val="none"/>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vertAlign w:val="baseline"/>
          <w:rtl w:val="0"/>
        </w:rPr>
        <w:t xml:space="preserve">Objetivo Gera</w:t>
      </w: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l: </w:t>
      </w:r>
      <w:r w:rsidDel="00000000" w:rsidR="00000000" w:rsidRPr="00000000">
        <w:rPr>
          <w:rFonts w:ascii="Arial Narrow" w:cs="Arial Narrow" w:eastAsia="Arial Narrow" w:hAnsi="Arial Narrow"/>
          <w:b w:val="0"/>
          <w:i w:val="0"/>
          <w:smallCaps w:val="0"/>
          <w:strike w:val="0"/>
          <w:color w:val="000000"/>
          <w:sz w:val="18"/>
          <w:szCs w:val="18"/>
          <w:u w:val="none"/>
          <w:vertAlign w:val="baseline"/>
          <w:rtl w:val="0"/>
        </w:rPr>
        <w:t xml:space="preserve">Conhecer e aplicar os métodos e técnicas de avaliação do estado nutricional (antropométrico, clínico, bioquímico) de indivíduos e grupos populacionais, bem como: a) Identificar seus usos e aplicações na avaliação nutricional; b) Realizar a avaliação do estado nutricional de indivíduos e grupos; c) Reconhecer a importância da avaliação nutricional na intervenção para o planejamento dietético nas diferentes formas de abordagem; d) Desenvolver competências necessárias ao exercício profissional como responsabilidade, comunicação e postura ética.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2"/>
          <w:szCs w:val="22"/>
          <w:u w:val="none"/>
          <w:vertAlign w:val="baseline"/>
        </w:rPr>
      </w:pPr>
      <w:r w:rsidDel="00000000" w:rsidR="00000000" w:rsidRPr="00000000">
        <w:rPr>
          <w:rtl w:val="0"/>
        </w:rPr>
      </w:r>
    </w:p>
    <w:tbl>
      <w:tblPr>
        <w:tblStyle w:val="Table1"/>
        <w:bidiVisual w:val="0"/>
        <w:tblW w:w="106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7796"/>
        <w:gridCol w:w="1894"/>
        <w:tblGridChange w:id="0">
          <w:tblGrid>
            <w:gridCol w:w="988"/>
            <w:gridCol w:w="7796"/>
            <w:gridCol w:w="1894"/>
          </w:tblGrid>
        </w:tblGridChange>
      </w:tblGrid>
      <w:tr>
        <w:tc>
          <w:tcPr>
            <w:vAlign w:val="center"/>
          </w:tcPr>
          <w:p w:rsidR="00000000" w:rsidDel="00000000" w:rsidP="00000000" w:rsidRDefault="00000000" w:rsidRPr="00000000">
            <w:pPr>
              <w:keepNext w:val="1"/>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Dia</w:t>
            </w:r>
          </w:p>
        </w:tc>
        <w:tc>
          <w:tcPr>
            <w:vAlign w:val="center"/>
          </w:tcPr>
          <w:p w:rsidR="00000000" w:rsidDel="00000000" w:rsidP="00000000" w:rsidRDefault="00000000" w:rsidRPr="00000000">
            <w:pPr>
              <w:keepNext w:val="1"/>
              <w:pBd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Aula</w:t>
            </w:r>
          </w:p>
        </w:tc>
        <w:tc>
          <w:tcPr>
            <w:vAlign w:val="center"/>
          </w:tcPr>
          <w:p w:rsidR="00000000" w:rsidDel="00000000" w:rsidP="00000000" w:rsidRDefault="00000000" w:rsidRPr="00000000">
            <w:pPr>
              <w:keepNext w:val="1"/>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Responsável</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10/03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Avaliação Nutricional: definição, modelos básicos, raciocínio diagnóstico. Diagnóstico baseado em evidências.</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17/03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uso de valores de referência em Avaliação Nutricional</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31/03</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Antropometria I: as medidas antropométricas.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crianças. </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28/04</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(GREVE)</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 </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05/05</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Antropometria II: distribuições de referência – o quê são e como são usadas?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adolescentes. </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22/05</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Lanpop - Aula Prática/ Exercícios práticos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30/05</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Prova</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Laboratório de informática – Exercício Anthro-WHO</w:t>
            </w:r>
            <w:r w:rsidDel="00000000" w:rsidR="00000000" w:rsidRPr="00000000">
              <w:rPr>
                <w:rFonts w:ascii="Arial" w:cs="Arial" w:eastAsia="Arial" w:hAnsi="Arial"/>
                <w:b w:val="1"/>
                <w:sz w:val="20"/>
                <w:szCs w:val="20"/>
                <w:vertAlign w:val="superscript"/>
                <w:rtl w:val="0"/>
              </w:rPr>
              <w:t xml:space="preserve">®</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05/06</w:t>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Composição corporal: os modelos da composição corporal e as técnicas mais frequentes (Parte I). </w:t>
            </w:r>
          </w:p>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Foco: ciclo e avaliação nutricional de adultos e idosos.</w:t>
            </w:r>
          </w:p>
        </w:tc>
        <w:tc>
          <w:tcPr>
            <w:vAlign w:val="center"/>
          </w:tcPr>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Wolney Conde</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12/06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Composição corporal: os modelos da composição corporal e as técnicas mais frequentes (Parte II). </w:t>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19/06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Aula com exercícios práticos</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26/06</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Lanpop - Aula Prática/ Exercícios práticos (DXA/BIA)</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[Convidados]</w:t>
            </w:r>
            <w:r w:rsidDel="00000000" w:rsidR="00000000" w:rsidRPr="00000000">
              <w:rPr>
                <w:rtl w:val="0"/>
              </w:rPr>
            </w:r>
          </w:p>
        </w:tc>
      </w:tr>
      <w:tr>
        <w:tc>
          <w:tcPr>
            <w:vAlign w:val="center"/>
          </w:tcPr>
          <w:p w:rsidR="00000000" w:rsidDel="00000000" w:rsidP="00000000" w:rsidRDefault="00000000" w:rsidRPr="00000000">
            <w:pPr>
              <w:pBdr/>
              <w:contextualSpacing w:val="0"/>
              <w:jc w:val="center"/>
              <w:rPr>
                <w:rFonts w:ascii="Arial" w:cs="Arial" w:eastAsia="Arial" w:hAnsi="Arial"/>
                <w:sz w:val="36"/>
                <w:szCs w:val="36"/>
              </w:rPr>
            </w:pPr>
            <w:r w:rsidDel="00000000" w:rsidR="00000000" w:rsidRPr="00000000">
              <w:rPr>
                <w:rFonts w:ascii="Arial Black" w:cs="Arial Black" w:eastAsia="Arial Black" w:hAnsi="Arial Black"/>
                <w:sz w:val="16"/>
                <w:szCs w:val="16"/>
                <w:rtl w:val="0"/>
              </w:rPr>
              <w:t xml:space="preserve">03/07</w:t>
            </w:r>
            <w:r w:rsidDel="00000000" w:rsidR="00000000" w:rsidRPr="00000000">
              <w:rPr>
                <w:rtl w:val="0"/>
              </w:rPr>
            </w:r>
          </w:p>
        </w:tc>
        <w:tc>
          <w:tcPr>
            <w:vAlign w:val="center"/>
          </w:tcPr>
          <w:p w:rsidR="00000000" w:rsidDel="00000000" w:rsidP="00000000" w:rsidRDefault="00000000" w:rsidRPr="00000000">
            <w:pPr>
              <w:pBd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Nutricional em populações e indivíduos &amp; temas da atualidade.</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O IMC ao final da adolescência e os riscos para adultos; </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Erros de medidas e a estimativa de prevalência do déficit de altura; </w:t>
            </w:r>
          </w:p>
          <w:p w:rsidR="00000000" w:rsidDel="00000000" w:rsidP="00000000" w:rsidRDefault="00000000" w:rsidRPr="00000000">
            <w:pPr>
              <w:keepNext w:val="0"/>
              <w:keepLines w:val="0"/>
              <w:widowControl w:val="0"/>
              <w:numPr>
                <w:ilvl w:val="0"/>
                <w:numId w:val="1"/>
              </w:numPr>
              <w:pBdr/>
              <w:spacing w:after="0" w:before="0" w:line="240" w:lineRule="auto"/>
              <w:ind w:left="454" w:right="0" w:hanging="227"/>
              <w:contextualSpacing w:val="1"/>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evolução do estado nutricional em crianças gravemente enfermas. </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[Seminários]</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r>
        <w:tc>
          <w:tcPr>
            <w:vAlign w:val="center"/>
          </w:tcPr>
          <w:p w:rsidR="00000000" w:rsidDel="00000000" w:rsidP="00000000" w:rsidRDefault="00000000" w:rsidRPr="00000000">
            <w:pPr>
              <w:pBdr/>
              <w:contextualSpacing w:val="0"/>
              <w:jc w:val="center"/>
              <w:rPr>
                <w:rFonts w:ascii="Arial Black" w:cs="Arial Black" w:eastAsia="Arial Black" w:hAnsi="Arial Black"/>
                <w:sz w:val="16"/>
                <w:szCs w:val="16"/>
              </w:rPr>
            </w:pPr>
            <w:r w:rsidDel="00000000" w:rsidR="00000000" w:rsidRPr="00000000">
              <w:rPr>
                <w:rFonts w:ascii="Arial Black" w:cs="Arial Black" w:eastAsia="Arial Black" w:hAnsi="Arial Black"/>
                <w:sz w:val="16"/>
                <w:szCs w:val="16"/>
                <w:rtl w:val="0"/>
              </w:rPr>
              <w:t xml:space="preserve">05/07</w:t>
            </w:r>
          </w:p>
        </w:tc>
        <w:tc>
          <w:tcPr>
            <w:vAlign w:val="center"/>
          </w:tcPr>
          <w:p w:rsidR="00000000" w:rsidDel="00000000" w:rsidP="00000000" w:rsidRDefault="00000000" w:rsidRPr="00000000">
            <w:pPr>
              <w:pBd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Prova (sugestão de data)</w:t>
            </w:r>
          </w:p>
        </w:tc>
        <w:tc>
          <w:tcPr>
            <w:vAlign w:val="center"/>
          </w:tcPr>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Wolney Conde</w:t>
            </w:r>
          </w:p>
        </w:tc>
      </w:tr>
    </w:tbl>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single"/>
          <w:vertAlign w:val="baseline"/>
          <w:rtl w:val="0"/>
        </w:rPr>
        <w:t xml:space="preserve">Aguardando decisão da turma para possível dia de reposição da aula do dia 28/04/2017.</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vertAlign w:val="baseline"/>
          <w:rtl w:val="0"/>
        </w:rPr>
        <w:t xml:space="preserve">PROCEDIMENTOS DIDÁTICOS</w:t>
      </w: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aulas expositivas e exercícios..</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vertAlign w:val="baseline"/>
          <w:rtl w:val="0"/>
        </w:rPr>
        <w:t xml:space="preserve">CRITÉRIOS DE AVALIAÇÃO</w:t>
      </w: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A nota final da disciplina será calculada pela soma das notas da prova (peso 85%) mais as notas dos Exercícios (peso 15%). A prova será elaborada com questões dissertativas ou do tipo </w:t>
      </w:r>
      <w:r w:rsidDel="00000000" w:rsidR="00000000" w:rsidRPr="00000000">
        <w:rPr>
          <w:rFonts w:ascii="Arial Narrow" w:cs="Arial Narrow" w:eastAsia="Arial Narrow" w:hAnsi="Arial Narrow"/>
          <w:b w:val="0"/>
          <w:i w:val="1"/>
          <w:smallCaps w:val="0"/>
          <w:strike w:val="0"/>
          <w:color w:val="000000"/>
          <w:sz w:val="20"/>
          <w:szCs w:val="20"/>
          <w:u w:val="none"/>
          <w:vertAlign w:val="baseline"/>
          <w:rtl w:val="0"/>
        </w:rPr>
        <w:t xml:space="preserve">teste</w:t>
      </w: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 sobre os temas de aula abordados em cada bloco da disciplina. Como parte da avaliação da prova, uma questão será entregue em data pertinente em sala de aula, sendo cada questão individual e intransferível para que cada aluno desenvolva a questão durante a disciplina em duas etapas diferentes, que serão entregues em cada dia de prova ao professor em sala de aula, como parte integrante da nota da prova.</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vertAlign w:val="baseline"/>
          <w:rtl w:val="0"/>
        </w:rPr>
        <w:t xml:space="preserve">BIBLIOGRAFIA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tbl>
      <w:tblPr>
        <w:tblStyle w:val="Table2"/>
        <w:bidiVisual w:val="0"/>
        <w:tblW w:w="8996.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415"/>
        <w:gridCol w:w="7581"/>
        <w:tblGridChange w:id="0">
          <w:tblGrid>
            <w:gridCol w:w="1415"/>
            <w:gridCol w:w="7581"/>
          </w:tblGrid>
        </w:tblGridChange>
      </w:tblGrid>
      <w:tr>
        <w:trPr>
          <w:trHeight w:val="260" w:hRule="atLeast"/>
        </w:trPr>
        <w:tc>
          <w:tcPr>
            <w:vMerge w:val="restart"/>
            <w:tcBorders>
              <w:top w:color="000000" w:space="0" w:sz="18" w:val="single"/>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vertAlign w:val="baseline"/>
                <w:rtl w:val="0"/>
              </w:rPr>
              <w:t xml:space="preserve">Básica</w:t>
            </w: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World Health Organization.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Physical status: the use and interpretation of anthropometry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Report of a WHO Expert Committee. Geneba. 1995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hyperlink r:id="rId5">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http://www.who.int/childgrowth/publications/physical_status/en/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Reis NT, Calixto-lima L. Interpretação de exames laboratoriais aplicados à Nutrição Clínica. São Paulo: Rubio, 2012</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Burtis, CA,  Ashwood ER, Bruns DE. Tietz Fundamentals of clinical chemistry.6th ed. Philadelphia: W.B. Saunders; 2012.</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Livro 4</w:t>
            </w:r>
          </w:p>
        </w:tc>
      </w:tr>
      <w:tr>
        <w:trPr>
          <w:trHeight w:val="160" w:hRule="atLeast"/>
        </w:trPr>
        <w:tc>
          <w:tcPr>
            <w:vMerge w:val="continue"/>
            <w:tcBorders>
              <w:top w:color="000000" w:space="0" w:sz="18" w:val="single"/>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Livro 5</w:t>
            </w:r>
          </w:p>
        </w:tc>
      </w:tr>
      <w:tr>
        <w:trPr>
          <w:trHeight w:val="240" w:hRule="atLeast"/>
        </w:trPr>
        <w:tc>
          <w:tcPr>
            <w:vMerge w:val="restart"/>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vertAlign w:val="baseline"/>
                <w:rtl w:val="0"/>
              </w:rPr>
              <w:t xml:space="preserve">Complementar</w:t>
            </w: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Rossi L, Caruso L, Galante AP. Avaliação nutricional: novas perspectivas. São Paulo: Roca/Centro Universitário São Camilo; 2009.</w:t>
            </w:r>
            <w:r w:rsidDel="00000000" w:rsidR="00000000" w:rsidRPr="00000000">
              <w:rPr>
                <w:rtl w:val="0"/>
              </w:rPr>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Tirapegui J, Ribeiro SML Avaliação nutricional: teoria e prática. Rio de Janeiro: Guanabara Koogan; 2009.</w:t>
            </w:r>
            <w:r w:rsidDel="00000000" w:rsidR="00000000" w:rsidRPr="00000000">
              <w:rPr>
                <w:rtl w:val="0"/>
              </w:rPr>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Livro 3</w:t>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Livro 4</w:t>
            </w:r>
          </w:p>
        </w:tc>
      </w:tr>
      <w:tr>
        <w:trPr>
          <w:trHeight w:val="160" w:hRule="atLeast"/>
        </w:trPr>
        <w:tc>
          <w:tcPr>
            <w:vMerge w:val="continue"/>
            <w:tcBorders>
              <w:bottom w:color="000000" w:space="0" w:sz="18" w:val="single"/>
              <w:right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vertAlign w:val="baseline"/>
                <w:rtl w:val="0"/>
              </w:rPr>
              <w:t xml:space="preserve">Livro 5</w:t>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vertAlign w:val="baseline"/>
          <w:rtl w:val="0"/>
        </w:rPr>
        <w:t xml:space="preserve">OUTRAS FONTES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tbl>
      <w:tblPr>
        <w:tblStyle w:val="Table3"/>
        <w:bidiVisual w:val="0"/>
        <w:tblW w:w="100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151"/>
        <w:gridCol w:w="5899"/>
        <w:tblGridChange w:id="0">
          <w:tblGrid>
            <w:gridCol w:w="4151"/>
            <w:gridCol w:w="5899"/>
          </w:tblGrid>
        </w:tblGridChange>
      </w:tblGrid>
      <w:tr>
        <w:trPr>
          <w:trHeight w:val="80" w:hRule="atLeast"/>
        </w:trPr>
        <w:tc>
          <w:tcPr>
            <w:tcBorders>
              <w:top w:color="000000" w:space="0" w:sz="18" w:val="single"/>
              <w:righ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hyperlink r:id="rId6">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http://nutrition.uvm.edu/bodycomp/</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tc>
        <w:tc>
          <w:tcPr>
            <w:tcBorders>
              <w:top w:color="000000" w:space="0" w:sz="18" w:val="single"/>
              <w:lef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hyperlink r:id="rId7">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http://www.ibge.gov.br</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(POF)</w:t>
            </w:r>
          </w:p>
        </w:tc>
      </w:tr>
      <w:tr>
        <w:trPr>
          <w:trHeight w:val="80" w:hRule="atLeast"/>
        </w:trPr>
        <w:tc>
          <w:tcPr>
            <w:tcBorders>
              <w:righ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hyperlink r:id="rId8">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http://www.cdc.gov/nchs/nhanes/nhanes_questionnaires.htm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tc>
        <w:tc>
          <w:tcPr>
            <w:tcBorders>
              <w:lef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hyperlink r:id="rId9">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http://bibliotecas-cruesp.usp.br/unibibliweb/</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hyperlink r:id="rId10">
              <w:r w:rsidDel="00000000" w:rsidR="00000000" w:rsidRPr="00000000">
                <w:rPr>
                  <w:rFonts w:ascii="Arial" w:cs="Arial" w:eastAsia="Arial" w:hAnsi="Arial"/>
                  <w:b w:val="0"/>
                  <w:i w:val="0"/>
                  <w:smallCaps w:val="0"/>
                  <w:strike w:val="0"/>
                  <w:color w:val="0000ff"/>
                  <w:sz w:val="20"/>
                  <w:szCs w:val="20"/>
                  <w:u w:val="single"/>
                  <w:vertAlign w:val="baseline"/>
                  <w:rtl w:val="0"/>
                </w:rPr>
                <w:t xml:space="preserve">http://www.ncbi.nlm.nih.gov/PubMed</w:t>
              </w:r>
            </w:hyperlink>
            <w:r w:rsidDel="00000000" w:rsidR="00000000" w:rsidRPr="00000000">
              <w:rPr>
                <w:rtl w:val="0"/>
              </w:rPr>
            </w:r>
          </w:p>
        </w:tc>
      </w:tr>
      <w:tr>
        <w:trPr>
          <w:trHeight w:val="80" w:hRule="atLeast"/>
        </w:trPr>
        <w:tc>
          <w:tcPr>
            <w:tcBorders>
              <w:righ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tc>
        <w:tc>
          <w:tcPr>
            <w:tcBorders>
              <w:lef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r>
        <w:trPr>
          <w:trHeight w:val="80" w:hRule="atLeast"/>
        </w:trPr>
        <w:tc>
          <w:tcPr>
            <w:tcBorders>
              <w:bottom w:color="000000" w:space="0" w:sz="18" w:val="single"/>
              <w:right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c>
          <w:tcPr>
            <w:tcBorders>
              <w:left w:color="000000" w:space="0" w:sz="18" w:val="single"/>
              <w:bottom w:color="000000" w:space="0" w:sz="18"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0"/>
          <w:szCs w:val="20"/>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Narrow" w:cs="Arial Narrow" w:eastAsia="Arial Narrow" w:hAnsi="Arial Narrow"/>
          <w:b w:val="0"/>
          <w:i w:val="0"/>
          <w:smallCaps w:val="0"/>
          <w:strike w:val="1"/>
          <w:color w:val="000000"/>
          <w:sz w:val="20"/>
          <w:szCs w:val="20"/>
          <w:u w:val="single"/>
          <w:vertAlign w:val="baseline"/>
        </w:rPr>
      </w:pPr>
      <w:r w:rsidDel="00000000" w:rsidR="00000000" w:rsidRPr="00000000">
        <w:rPr>
          <w:rtl w:val="0"/>
        </w:rPr>
      </w:r>
    </w:p>
    <w:sectPr>
      <w:headerReference r:id="rId11" w:type="default"/>
      <w:footerReference r:id="rId12" w:type="default"/>
      <w:pgSz w:h="16838" w:w="11906"/>
      <w:pgMar w:bottom="850" w:top="1133" w:left="850"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567" w:line="240" w:lineRule="auto"/>
      <w:ind w:left="0" w:right="0" w:firstLine="0"/>
      <w:contextualSpacing w:val="0"/>
      <w:jc w:val="center"/>
      <w:rPr>
        <w:rFonts w:ascii="Nunito" w:cs="Nunito" w:eastAsia="Nunito" w:hAnsi="Nunito"/>
        <w:b w:val="1"/>
        <w:i w:val="0"/>
        <w:smallCaps w:val="0"/>
        <w:strike w:val="0"/>
        <w:color w:val="000000"/>
        <w:sz w:val="20"/>
        <w:szCs w:val="20"/>
        <w:u w:val="none"/>
        <w:vertAlign w:val="baseline"/>
      </w:rPr>
    </w:pPr>
    <w:r w:rsidDel="00000000" w:rsidR="00000000" w:rsidRPr="00000000">
      <w:rPr>
        <w:rFonts w:ascii="Nunito" w:cs="Nunito" w:eastAsia="Nunito" w:hAnsi="Nunito"/>
        <w:b w:val="1"/>
        <w:i w:val="0"/>
        <w:smallCaps w:val="0"/>
        <w:strike w:val="0"/>
        <w:color w:val="000000"/>
        <w:sz w:val="20"/>
        <w:szCs w:val="20"/>
        <w:u w:val="none"/>
        <w:vertAlign w:val="baseline"/>
        <w:rtl w:val="0"/>
      </w:rPr>
      <w:t xml:space="preserve">Universidade de São Paulo </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Nunito" w:cs="Nunito" w:eastAsia="Nunito" w:hAnsi="Nunito"/>
        <w:b w:val="1"/>
        <w:i w:val="0"/>
        <w:smallCaps w:val="0"/>
        <w:strike w:val="0"/>
        <w:color w:val="000000"/>
        <w:sz w:val="20"/>
        <w:szCs w:val="20"/>
        <w:u w:val="none"/>
        <w:vertAlign w:val="baseline"/>
      </w:rPr>
    </w:pPr>
    <w:r w:rsidDel="00000000" w:rsidR="00000000" w:rsidRPr="00000000">
      <w:rPr>
        <w:rFonts w:ascii="Nunito" w:cs="Nunito" w:eastAsia="Nunito" w:hAnsi="Nunito"/>
        <w:b w:val="1"/>
        <w:i w:val="0"/>
        <w:smallCaps w:val="0"/>
        <w:strike w:val="0"/>
        <w:color w:val="000000"/>
        <w:sz w:val="20"/>
        <w:szCs w:val="20"/>
        <w:u w:val="none"/>
        <w:vertAlign w:val="baseline"/>
        <w:rtl w:val="0"/>
      </w:rPr>
      <w:t xml:space="preserve">Faculdade de Saúde Pública – Departamento de Nutrição</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center"/>
      <w:rPr>
        <w:rFonts w:ascii="Nunito" w:cs="Nunito" w:eastAsia="Nunito" w:hAnsi="Nunito"/>
        <w:b w:val="1"/>
        <w:i w:val="0"/>
        <w:smallCaps w:val="0"/>
        <w:strike w:val="0"/>
        <w:color w:val="000000"/>
        <w:sz w:val="20"/>
        <w:szCs w:val="20"/>
        <w:u w:val="none"/>
        <w:vertAlign w:val="baseline"/>
      </w:rPr>
    </w:pPr>
    <w:r w:rsidDel="00000000" w:rsidR="00000000" w:rsidRPr="00000000">
      <w:rPr>
        <w:rFonts w:ascii="Nunito" w:cs="Nunito" w:eastAsia="Nunito" w:hAnsi="Nunito"/>
        <w:b w:val="1"/>
        <w:i w:val="0"/>
        <w:smallCaps w:val="0"/>
        <w:strike w:val="0"/>
        <w:color w:val="000000"/>
        <w:sz w:val="20"/>
        <w:szCs w:val="20"/>
        <w:u w:val="none"/>
        <w:vertAlign w:val="baseline"/>
        <w:rtl w:val="0"/>
      </w:rPr>
      <w:t xml:space="preserve">____________</w:t>
    </w:r>
    <w:r w:rsidDel="00000000" w:rsidR="00000000" w:rsidRPr="00000000">
      <w:rPr>
        <w:rFonts w:ascii="Nunito" w:cs="Nunito" w:eastAsia="Nunito" w:hAnsi="Nunito"/>
        <w:b w:val="1"/>
        <w:i w:val="0"/>
        <w:smallCaps w:val="0"/>
        <w:strike w:val="0"/>
        <w:color w:val="000000"/>
        <w:sz w:val="20"/>
        <w:szCs w:val="20"/>
        <w:u w:val="single"/>
        <w:vertAlign w:val="baseline"/>
        <w:rtl w:val="0"/>
      </w:rPr>
      <w:t xml:space="preserve">Programa da Disciplina Avaliação do Estado Nutricional (HNT0210) 2017 [Noturno]</w:t>
    </w:r>
    <w:r w:rsidDel="00000000" w:rsidR="00000000" w:rsidRPr="00000000">
      <w:rPr>
        <w:rFonts w:ascii="Nunito" w:cs="Nunito" w:eastAsia="Nunito" w:hAnsi="Nunito"/>
        <w:b w:val="1"/>
        <w:i w:val="0"/>
        <w:smallCaps w:val="0"/>
        <w:strike w:val="0"/>
        <w:color w:val="000000"/>
        <w:sz w:val="20"/>
        <w:szCs w:val="20"/>
        <w:u w:val="none"/>
        <w:vertAlign w:val="baseline"/>
        <w:rtl w:val="0"/>
      </w:rPr>
      <w:t xml:space="preserve">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www.ncbi.nlm.nih.gov/PubMed" TargetMode="External"/><Relationship Id="rId12" Type="http://schemas.openxmlformats.org/officeDocument/2006/relationships/footer" Target="footer1.xml"/><Relationship Id="rId9" Type="http://schemas.openxmlformats.org/officeDocument/2006/relationships/hyperlink" Target="http://bibliotecas-cruesp.usp.br/unibibliweb/" TargetMode="External"/><Relationship Id="rId5" Type="http://schemas.openxmlformats.org/officeDocument/2006/relationships/hyperlink" Target="http://www.who.int/childgrowth/publications/physical_status/en/" TargetMode="External"/><Relationship Id="rId6" Type="http://schemas.openxmlformats.org/officeDocument/2006/relationships/hyperlink" Target="http://nutrition.uvm.edu/bodycomp/" TargetMode="External"/><Relationship Id="rId7" Type="http://schemas.openxmlformats.org/officeDocument/2006/relationships/hyperlink" Target="http://www.ibge.gov.br" TargetMode="External"/><Relationship Id="rId8" Type="http://schemas.openxmlformats.org/officeDocument/2006/relationships/hyperlink" Target="http://www.cdc.gov/nchs/nhanes/nhanes_questionnaire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