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Professor Responsável</w:t>
      </w:r>
      <w:r w:rsidDel="00000000" w:rsidR="00000000" w:rsidRPr="00000000">
        <w:rPr>
          <w:rFonts w:ascii="Arial Narrow" w:cs="Arial Narrow" w:eastAsia="Arial Narrow" w:hAnsi="Arial Narrow"/>
          <w:sz w:val="22"/>
          <w:szCs w:val="22"/>
          <w:rtl w:val="0"/>
        </w:rPr>
        <w:t xml:space="preserve">: Wolney Lisboa Conde </w:t>
      </w:r>
    </w:p>
    <w:p w:rsidR="00000000" w:rsidDel="00000000" w:rsidP="00000000" w:rsidRDefault="00000000" w:rsidRPr="00000000">
      <w:pPr>
        <w:pBdr/>
        <w:contextualSpacing w:val="0"/>
        <w:jc w:val="both"/>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22"/>
          <w:szCs w:val="22"/>
          <w:rtl w:val="0"/>
        </w:rPr>
        <w:t xml:space="preserve">Objetivo Gera</w:t>
      </w:r>
      <w:r w:rsidDel="00000000" w:rsidR="00000000" w:rsidRPr="00000000">
        <w:rPr>
          <w:rFonts w:ascii="Arial Narrow" w:cs="Arial Narrow" w:eastAsia="Arial Narrow" w:hAnsi="Arial Narrow"/>
          <w:sz w:val="22"/>
          <w:szCs w:val="22"/>
          <w:rtl w:val="0"/>
        </w:rPr>
        <w:t xml:space="preserve">l: </w:t>
      </w:r>
      <w:r w:rsidDel="00000000" w:rsidR="00000000" w:rsidRPr="00000000">
        <w:rPr>
          <w:rFonts w:ascii="Arial Narrow" w:cs="Arial Narrow" w:eastAsia="Arial Narrow" w:hAnsi="Arial Narrow"/>
          <w:sz w:val="18"/>
          <w:szCs w:val="18"/>
          <w:rtl w:val="0"/>
        </w:rPr>
        <w:t xml:space="preserve">Conhecer e aplicar os métodos e técnicas de avaliação do estado nutricional (antropométrico, clínico, bioquímico) de indivíduos e grupos populacionais, bem como: a) Identificar seus usos e aplicações na avaliação nutricional; b) Realizar a avaliação do estado nutricional de indivíduos e grupos; c) Reconhecer a importância da avaliação nutricional na intervenção para o planejamento dietético nas diferentes formas de abordagem; d) Desenvolver competências necessárias ao exercício profissional como responsabilidade, comunicação e postura ética. </w:t>
      </w:r>
    </w:p>
    <w:p w:rsidR="00000000" w:rsidDel="00000000" w:rsidP="00000000" w:rsidRDefault="00000000" w:rsidRPr="00000000">
      <w:pPr>
        <w:pBdr/>
        <w:contextualSpacing w:val="0"/>
        <w:rPr>
          <w:rFonts w:ascii="Arial Narrow" w:cs="Arial Narrow" w:eastAsia="Arial Narrow" w:hAnsi="Arial Narrow"/>
          <w:sz w:val="22"/>
          <w:szCs w:val="22"/>
        </w:rPr>
      </w:pPr>
      <w:r w:rsidDel="00000000" w:rsidR="00000000" w:rsidRPr="00000000">
        <w:rPr>
          <w:rtl w:val="0"/>
        </w:rPr>
      </w:r>
    </w:p>
    <w:tbl>
      <w:tblPr>
        <w:tblStyle w:val="Table1"/>
        <w:bidiVisual w:val="0"/>
        <w:tblW w:w="1067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8"/>
        <w:gridCol w:w="7796"/>
        <w:gridCol w:w="1894"/>
        <w:tblGridChange w:id="0">
          <w:tblGrid>
            <w:gridCol w:w="988"/>
            <w:gridCol w:w="7796"/>
            <w:gridCol w:w="1894"/>
          </w:tblGrid>
        </w:tblGridChange>
      </w:tblGrid>
      <w:tr>
        <w:tc>
          <w:tcPr>
            <w:vAlign w:val="center"/>
          </w:tcPr>
          <w:p w:rsidR="00000000" w:rsidDel="00000000" w:rsidP="00000000" w:rsidRDefault="00000000" w:rsidRPr="00000000">
            <w:pPr>
              <w:keepNext w:val="1"/>
              <w:pBdr/>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Dia</w:t>
            </w:r>
          </w:p>
        </w:tc>
        <w:tc>
          <w:tcPr>
            <w:vAlign w:val="center"/>
          </w:tcPr>
          <w:p w:rsidR="00000000" w:rsidDel="00000000" w:rsidP="00000000" w:rsidRDefault="00000000" w:rsidRPr="00000000">
            <w:pPr>
              <w:keepNext w:val="1"/>
              <w:pBd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Aula</w:t>
            </w:r>
          </w:p>
        </w:tc>
        <w:tc>
          <w:tcPr>
            <w:vAlign w:val="center"/>
          </w:tcPr>
          <w:p w:rsidR="00000000" w:rsidDel="00000000" w:rsidP="00000000" w:rsidRDefault="00000000" w:rsidRPr="00000000">
            <w:pPr>
              <w:keepNext w:val="1"/>
              <w:pBd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Responsável</w:t>
            </w:r>
            <w:r w:rsidDel="00000000" w:rsidR="00000000" w:rsidRPr="00000000">
              <w:rPr>
                <w:rtl w:val="0"/>
              </w:rPr>
            </w:r>
          </w:p>
        </w:tc>
      </w:tr>
      <w:tr>
        <w:tc>
          <w:tcPr>
            <w:vAlign w:val="center"/>
          </w:tcPr>
          <w:p w:rsidR="00000000" w:rsidDel="00000000" w:rsidP="00000000" w:rsidRDefault="00000000" w:rsidRPr="00000000">
            <w:pPr>
              <w:pBdr/>
              <w:contextualSpacing w:val="0"/>
              <w:jc w:val="center"/>
              <w:rPr>
                <w:rFonts w:ascii="Arial" w:cs="Arial" w:eastAsia="Arial" w:hAnsi="Arial"/>
                <w:sz w:val="36"/>
                <w:szCs w:val="36"/>
              </w:rPr>
            </w:pPr>
            <w:r w:rsidDel="00000000" w:rsidR="00000000" w:rsidRPr="00000000">
              <w:rPr>
                <w:rFonts w:ascii="Arial Black" w:cs="Arial Black" w:eastAsia="Arial Black" w:hAnsi="Arial Black"/>
                <w:sz w:val="16"/>
                <w:szCs w:val="16"/>
                <w:rtl w:val="0"/>
              </w:rPr>
              <w:t xml:space="preserve">10/03</w:t>
            </w:r>
            <w:r w:rsidDel="00000000" w:rsidR="00000000" w:rsidRPr="00000000">
              <w:rPr>
                <w:rtl w:val="0"/>
              </w:rPr>
            </w:r>
          </w:p>
        </w:tc>
        <w:tc>
          <w:tcPr>
            <w:vAlign w:val="center"/>
          </w:tcPr>
          <w:p w:rsidR="00000000" w:rsidDel="00000000" w:rsidP="00000000" w:rsidRDefault="00000000" w:rsidRPr="00000000">
            <w:pPr>
              <w:pBd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Introdução à Avaliação Nutricional: definição, modelos básicos, raciocínio diagnóstico. Diagnóstico baseado em evidências.</w:t>
            </w:r>
          </w:p>
        </w:tc>
        <w:tc>
          <w:tcPr>
            <w:vAlign w:val="center"/>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Wolney Conde</w:t>
            </w:r>
            <w:r w:rsidDel="00000000" w:rsidR="00000000" w:rsidRPr="00000000">
              <w:rPr>
                <w:rtl w:val="0"/>
              </w:rPr>
            </w:r>
          </w:p>
        </w:tc>
      </w:tr>
      <w:tr>
        <w:tc>
          <w:tcPr>
            <w:vAlign w:val="center"/>
          </w:tcPr>
          <w:p w:rsidR="00000000" w:rsidDel="00000000" w:rsidP="00000000" w:rsidRDefault="00000000" w:rsidRPr="00000000">
            <w:pPr>
              <w:pBdr/>
              <w:contextualSpacing w:val="0"/>
              <w:jc w:val="center"/>
              <w:rPr>
                <w:rFonts w:ascii="Arial" w:cs="Arial" w:eastAsia="Arial" w:hAnsi="Arial"/>
                <w:sz w:val="36"/>
                <w:szCs w:val="36"/>
              </w:rPr>
            </w:pPr>
            <w:r w:rsidDel="00000000" w:rsidR="00000000" w:rsidRPr="00000000">
              <w:rPr>
                <w:rFonts w:ascii="Arial Black" w:cs="Arial Black" w:eastAsia="Arial Black" w:hAnsi="Arial Black"/>
                <w:sz w:val="16"/>
                <w:szCs w:val="16"/>
                <w:rtl w:val="0"/>
              </w:rPr>
              <w:t xml:space="preserve">13/03</w:t>
            </w:r>
            <w:r w:rsidDel="00000000" w:rsidR="00000000" w:rsidRPr="00000000">
              <w:rPr>
                <w:rtl w:val="0"/>
              </w:rPr>
            </w:r>
          </w:p>
        </w:tc>
        <w:tc>
          <w:tcPr>
            <w:vAlign w:val="center"/>
          </w:tcPr>
          <w:p w:rsidR="00000000" w:rsidDel="00000000" w:rsidP="00000000" w:rsidRDefault="00000000" w:rsidRPr="00000000">
            <w:pPr>
              <w:pBd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uso de valores de referência em Avaliação Nutricional</w:t>
            </w:r>
          </w:p>
        </w:tc>
        <w:tc>
          <w:tcPr>
            <w:vAlign w:val="center"/>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Wolney Conde</w:t>
            </w:r>
            <w:r w:rsidDel="00000000" w:rsidR="00000000" w:rsidRPr="00000000">
              <w:rPr>
                <w:rtl w:val="0"/>
              </w:rPr>
            </w:r>
          </w:p>
        </w:tc>
      </w:tr>
      <w:tr>
        <w:tc>
          <w:tcPr>
            <w:vAlign w:val="center"/>
          </w:tcPr>
          <w:p w:rsidR="00000000" w:rsidDel="00000000" w:rsidP="00000000" w:rsidRDefault="00000000" w:rsidRPr="00000000">
            <w:pPr>
              <w:pBdr/>
              <w:contextualSpacing w:val="0"/>
              <w:jc w:val="center"/>
              <w:rPr>
                <w:rFonts w:ascii="Arial" w:cs="Arial" w:eastAsia="Arial" w:hAnsi="Arial"/>
                <w:sz w:val="36"/>
                <w:szCs w:val="36"/>
              </w:rPr>
            </w:pPr>
            <w:r w:rsidDel="00000000" w:rsidR="00000000" w:rsidRPr="00000000">
              <w:rPr>
                <w:rFonts w:ascii="Arial Black" w:cs="Arial Black" w:eastAsia="Arial Black" w:hAnsi="Arial Black"/>
                <w:sz w:val="16"/>
                <w:szCs w:val="16"/>
                <w:rtl w:val="0"/>
              </w:rPr>
              <w:t xml:space="preserve">31/03</w:t>
            </w:r>
            <w:r w:rsidDel="00000000" w:rsidR="00000000" w:rsidRPr="00000000">
              <w:rPr>
                <w:rtl w:val="0"/>
              </w:rPr>
            </w:r>
          </w:p>
        </w:tc>
        <w:tc>
          <w:tcPr>
            <w:vAlign w:val="center"/>
          </w:tcPr>
          <w:p w:rsidR="00000000" w:rsidDel="00000000" w:rsidP="00000000" w:rsidRDefault="00000000" w:rsidRPr="00000000">
            <w:pPr>
              <w:pBd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Antropometria I: as medidas antropométricas. </w:t>
            </w:r>
          </w:p>
          <w:p w:rsidR="00000000" w:rsidDel="00000000" w:rsidP="00000000" w:rsidRDefault="00000000" w:rsidRPr="00000000">
            <w:pPr>
              <w:pBd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Foco: ciclo e avaliação nutricional de crianças. </w:t>
            </w:r>
          </w:p>
        </w:tc>
        <w:tc>
          <w:tcPr>
            <w:vAlign w:val="center"/>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Wolney Conde</w:t>
            </w:r>
            <w:r w:rsidDel="00000000" w:rsidR="00000000" w:rsidRPr="00000000">
              <w:rPr>
                <w:rtl w:val="0"/>
              </w:rPr>
            </w:r>
          </w:p>
        </w:tc>
      </w:tr>
      <w:tr>
        <w:tc>
          <w:tcPr>
            <w:vAlign w:val="center"/>
          </w:tcPr>
          <w:p w:rsidR="00000000" w:rsidDel="00000000" w:rsidP="00000000" w:rsidRDefault="00000000" w:rsidRPr="00000000">
            <w:pPr>
              <w:pBdr/>
              <w:contextualSpacing w:val="0"/>
              <w:jc w:val="center"/>
              <w:rPr>
                <w:rFonts w:ascii="Arial" w:cs="Arial" w:eastAsia="Arial" w:hAnsi="Arial"/>
                <w:sz w:val="36"/>
                <w:szCs w:val="36"/>
              </w:rPr>
            </w:pPr>
            <w:r w:rsidDel="00000000" w:rsidR="00000000" w:rsidRPr="00000000">
              <w:rPr>
                <w:rFonts w:ascii="Arial Black" w:cs="Arial Black" w:eastAsia="Arial Black" w:hAnsi="Arial Black"/>
                <w:sz w:val="16"/>
                <w:szCs w:val="16"/>
                <w:rtl w:val="0"/>
              </w:rPr>
              <w:t xml:space="preserve">28/04</w:t>
            </w:r>
            <w:r w:rsidDel="00000000" w:rsidR="00000000" w:rsidRPr="00000000">
              <w:rPr>
                <w:rtl w:val="0"/>
              </w:rPr>
            </w:r>
          </w:p>
        </w:tc>
        <w:tc>
          <w:tcPr>
            <w:vAlign w:val="center"/>
          </w:tcPr>
          <w:p w:rsidR="00000000" w:rsidDel="00000000" w:rsidP="00000000" w:rsidRDefault="00000000" w:rsidRPr="00000000">
            <w:pPr>
              <w:pBdr/>
              <w:contextualSpacing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GREVE</w:t>
            </w:r>
            <w:r w:rsidDel="00000000" w:rsidR="00000000" w:rsidRPr="00000000">
              <w:rPr>
                <w:rtl w:val="0"/>
              </w:rPr>
            </w:r>
          </w:p>
        </w:tc>
        <w:tc>
          <w:tcPr>
            <w:vAlign w:val="center"/>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Wolney Conde </w:t>
            </w:r>
            <w:r w:rsidDel="00000000" w:rsidR="00000000" w:rsidRPr="00000000">
              <w:rPr>
                <w:rtl w:val="0"/>
              </w:rPr>
            </w:r>
          </w:p>
        </w:tc>
      </w:tr>
      <w:tr>
        <w:tc>
          <w:tcPr>
            <w:vAlign w:val="center"/>
          </w:tcPr>
          <w:p w:rsidR="00000000" w:rsidDel="00000000" w:rsidP="00000000" w:rsidRDefault="00000000" w:rsidRPr="00000000">
            <w:pPr>
              <w:pBdr/>
              <w:contextualSpacing w:val="0"/>
              <w:jc w:val="center"/>
              <w:rPr>
                <w:rFonts w:ascii="Arial" w:cs="Arial" w:eastAsia="Arial" w:hAnsi="Arial"/>
                <w:sz w:val="36"/>
                <w:szCs w:val="36"/>
              </w:rPr>
            </w:pPr>
            <w:r w:rsidDel="00000000" w:rsidR="00000000" w:rsidRPr="00000000">
              <w:rPr>
                <w:rFonts w:ascii="Arial Black" w:cs="Arial Black" w:eastAsia="Arial Black" w:hAnsi="Arial Black"/>
                <w:sz w:val="16"/>
                <w:szCs w:val="16"/>
                <w:rtl w:val="0"/>
              </w:rPr>
              <w:t xml:space="preserve">08/05</w:t>
            </w:r>
            <w:r w:rsidDel="00000000" w:rsidR="00000000" w:rsidRPr="00000000">
              <w:rPr>
                <w:rtl w:val="0"/>
              </w:rPr>
            </w:r>
          </w:p>
        </w:tc>
        <w:tc>
          <w:tcPr>
            <w:vAlign w:val="center"/>
          </w:tcPr>
          <w:p w:rsidR="00000000" w:rsidDel="00000000" w:rsidP="00000000" w:rsidRDefault="00000000" w:rsidRPr="00000000">
            <w:pPr>
              <w:pBd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Antropometria II: distribuições de referência – o quê são e como são usadas? </w:t>
            </w:r>
          </w:p>
          <w:p w:rsidR="00000000" w:rsidDel="00000000" w:rsidP="00000000" w:rsidRDefault="00000000" w:rsidRPr="00000000">
            <w:pPr>
              <w:pBd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Foco: ciclo e avaliação nutricional de adolescentes. </w:t>
            </w: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vAlign w:val="center"/>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Wolney Conde</w:t>
            </w:r>
            <w:r w:rsidDel="00000000" w:rsidR="00000000" w:rsidRPr="00000000">
              <w:rPr>
                <w:rtl w:val="0"/>
              </w:rPr>
            </w:r>
          </w:p>
        </w:tc>
      </w:tr>
      <w:tr>
        <w:tc>
          <w:tcPr>
            <w:vAlign w:val="center"/>
          </w:tcPr>
          <w:p w:rsidR="00000000" w:rsidDel="00000000" w:rsidP="00000000" w:rsidRDefault="00000000" w:rsidRPr="00000000">
            <w:pPr>
              <w:pBdr/>
              <w:contextualSpacing w:val="0"/>
              <w:jc w:val="center"/>
              <w:rPr>
                <w:rFonts w:ascii="Arial Black" w:cs="Arial Black" w:eastAsia="Arial Black" w:hAnsi="Arial Black"/>
                <w:sz w:val="16"/>
                <w:szCs w:val="16"/>
              </w:rPr>
            </w:pPr>
            <w:r w:rsidDel="00000000" w:rsidR="00000000" w:rsidRPr="00000000">
              <w:rPr>
                <w:rFonts w:ascii="Arial Black" w:cs="Arial Black" w:eastAsia="Arial Black" w:hAnsi="Arial Black"/>
                <w:sz w:val="16"/>
                <w:szCs w:val="16"/>
                <w:rtl w:val="0"/>
              </w:rPr>
              <w:t xml:space="preserve">22/05</w:t>
            </w:r>
          </w:p>
        </w:tc>
        <w:tc>
          <w:tcPr>
            <w:vAlign w:val="center"/>
          </w:tcPr>
          <w:p w:rsidR="00000000" w:rsidDel="00000000" w:rsidP="00000000" w:rsidRDefault="00000000" w:rsidRPr="00000000">
            <w:pPr>
              <w:pBdr/>
              <w:contextualSpacing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Lanpop - Aula Prática/ Exercícios práticos </w:t>
            </w:r>
            <w:r w:rsidDel="00000000" w:rsidR="00000000" w:rsidRPr="00000000">
              <w:rPr>
                <w:rtl w:val="0"/>
              </w:rPr>
            </w:r>
          </w:p>
        </w:tc>
        <w:tc>
          <w:tcPr>
            <w:vAlign w:val="center"/>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Wolney Conde</w:t>
            </w:r>
            <w:r w:rsidDel="00000000" w:rsidR="00000000" w:rsidRPr="00000000">
              <w:rPr>
                <w:rtl w:val="0"/>
              </w:rPr>
            </w:r>
          </w:p>
        </w:tc>
      </w:tr>
      <w:tr>
        <w:tc>
          <w:tcPr>
            <w:vAlign w:val="center"/>
          </w:tcPr>
          <w:p w:rsidR="00000000" w:rsidDel="00000000" w:rsidP="00000000" w:rsidRDefault="00000000" w:rsidRPr="00000000">
            <w:pPr>
              <w:pBdr/>
              <w:contextualSpacing w:val="0"/>
              <w:jc w:val="center"/>
              <w:rPr>
                <w:rFonts w:ascii="Arial Black" w:cs="Arial Black" w:eastAsia="Arial Black" w:hAnsi="Arial Black"/>
                <w:sz w:val="16"/>
                <w:szCs w:val="16"/>
              </w:rPr>
            </w:pPr>
            <w:r w:rsidDel="00000000" w:rsidR="00000000" w:rsidRPr="00000000">
              <w:rPr>
                <w:rFonts w:ascii="Arial Black" w:cs="Arial Black" w:eastAsia="Arial Black" w:hAnsi="Arial Black"/>
                <w:sz w:val="16"/>
                <w:szCs w:val="16"/>
                <w:rtl w:val="0"/>
              </w:rPr>
              <w:t xml:space="preserve">30/05</w:t>
            </w:r>
          </w:p>
        </w:tc>
        <w:tc>
          <w:tcPr>
            <w:vAlign w:val="center"/>
          </w:tcPr>
          <w:p w:rsidR="00000000" w:rsidDel="00000000" w:rsidP="00000000" w:rsidRDefault="00000000" w:rsidRPr="00000000">
            <w:pPr>
              <w:pBdr/>
              <w:contextualSpacing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Prova</w:t>
            </w: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Laboratório de informática – Exercício Anthro-WHO</w:t>
            </w:r>
            <w:r w:rsidDel="00000000" w:rsidR="00000000" w:rsidRPr="00000000">
              <w:rPr>
                <w:rFonts w:ascii="Arial" w:cs="Arial" w:eastAsia="Arial" w:hAnsi="Arial"/>
                <w:b w:val="1"/>
                <w:sz w:val="20"/>
                <w:szCs w:val="20"/>
                <w:vertAlign w:val="superscript"/>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vAlign w:val="center"/>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tc>
      </w:tr>
      <w:tr>
        <w:tc>
          <w:tcPr>
            <w:vAlign w:val="center"/>
          </w:tcPr>
          <w:p w:rsidR="00000000" w:rsidDel="00000000" w:rsidP="00000000" w:rsidRDefault="00000000" w:rsidRPr="00000000">
            <w:pPr>
              <w:pBdr/>
              <w:contextualSpacing w:val="0"/>
              <w:jc w:val="center"/>
              <w:rPr>
                <w:rFonts w:ascii="Arial Black" w:cs="Arial Black" w:eastAsia="Arial Black" w:hAnsi="Arial Black"/>
                <w:sz w:val="16"/>
                <w:szCs w:val="16"/>
              </w:rPr>
            </w:pPr>
            <w:r w:rsidDel="00000000" w:rsidR="00000000" w:rsidRPr="00000000">
              <w:rPr>
                <w:rFonts w:ascii="Arial Black" w:cs="Arial Black" w:eastAsia="Arial Black" w:hAnsi="Arial Black"/>
                <w:sz w:val="16"/>
                <w:szCs w:val="16"/>
                <w:rtl w:val="0"/>
              </w:rPr>
              <w:t xml:space="preserve">05/06</w:t>
            </w:r>
          </w:p>
        </w:tc>
        <w:tc>
          <w:tcPr>
            <w:vAlign w:val="center"/>
          </w:tcPr>
          <w:p w:rsidR="00000000" w:rsidDel="00000000" w:rsidP="00000000" w:rsidRDefault="00000000" w:rsidRPr="00000000">
            <w:pPr>
              <w:pBd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Composição corporal: os modelos da composição corporal e as técnicas mais frequentes (Parte I). </w:t>
            </w:r>
          </w:p>
          <w:p w:rsidR="00000000" w:rsidDel="00000000" w:rsidP="00000000" w:rsidRDefault="00000000" w:rsidRPr="00000000">
            <w:pPr>
              <w:pBd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Foco: ciclo e avaliação nutricional de adultos e idosos.</w:t>
            </w:r>
          </w:p>
        </w:tc>
        <w:tc>
          <w:tcPr>
            <w:vAlign w:val="center"/>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Wolney Conde</w:t>
            </w:r>
            <w:r w:rsidDel="00000000" w:rsidR="00000000" w:rsidRPr="00000000">
              <w:rPr>
                <w:rtl w:val="0"/>
              </w:rPr>
            </w:r>
          </w:p>
        </w:tc>
      </w:tr>
      <w:tr>
        <w:tc>
          <w:tcPr>
            <w:vAlign w:val="center"/>
          </w:tcPr>
          <w:p w:rsidR="00000000" w:rsidDel="00000000" w:rsidP="00000000" w:rsidRDefault="00000000" w:rsidRPr="00000000">
            <w:pPr>
              <w:pBdr/>
              <w:contextualSpacing w:val="0"/>
              <w:jc w:val="center"/>
              <w:rPr>
                <w:rFonts w:ascii="Arial" w:cs="Arial" w:eastAsia="Arial" w:hAnsi="Arial"/>
                <w:sz w:val="36"/>
                <w:szCs w:val="36"/>
              </w:rPr>
            </w:pPr>
            <w:r w:rsidDel="00000000" w:rsidR="00000000" w:rsidRPr="00000000">
              <w:rPr>
                <w:rFonts w:ascii="Arial Black" w:cs="Arial Black" w:eastAsia="Arial Black" w:hAnsi="Arial Black"/>
                <w:sz w:val="16"/>
                <w:szCs w:val="16"/>
                <w:rtl w:val="0"/>
              </w:rPr>
              <w:t xml:space="preserve">12/06</w:t>
            </w:r>
            <w:r w:rsidDel="00000000" w:rsidR="00000000" w:rsidRPr="00000000">
              <w:rPr>
                <w:rtl w:val="0"/>
              </w:rPr>
            </w:r>
          </w:p>
        </w:tc>
        <w:tc>
          <w:tcPr>
            <w:vAlign w:val="center"/>
          </w:tcPr>
          <w:p w:rsidR="00000000" w:rsidDel="00000000" w:rsidP="00000000" w:rsidRDefault="00000000" w:rsidRPr="00000000">
            <w:pPr>
              <w:pBd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Composição corporal: os modelos da composição corporal e as técnicas mais frequentes (Parte II). </w:t>
            </w:r>
          </w:p>
        </w:tc>
        <w:tc>
          <w:tcPr>
            <w:vAlign w:val="center"/>
          </w:tcPr>
          <w:p w:rsidR="00000000" w:rsidDel="00000000" w:rsidP="00000000" w:rsidRDefault="00000000" w:rsidRPr="00000000">
            <w:pPr>
              <w:pBdr/>
              <w:contextualSpacing w:val="0"/>
              <w:rPr>
                <w:rFonts w:ascii="Arial" w:cs="Arial" w:eastAsia="Arial" w:hAnsi="Arial"/>
                <w:b w:val="1"/>
                <w:sz w:val="20"/>
                <w:szCs w:val="20"/>
              </w:rPr>
            </w:pPr>
            <w:bookmarkStart w:colFirst="0" w:colLast="0" w:name="_gjdgxs" w:id="0"/>
            <w:bookmarkEnd w:id="0"/>
            <w:r w:rsidDel="00000000" w:rsidR="00000000" w:rsidRPr="00000000">
              <w:rPr>
                <w:rFonts w:ascii="Arial" w:cs="Arial" w:eastAsia="Arial" w:hAnsi="Arial"/>
                <w:b w:val="1"/>
                <w:sz w:val="20"/>
                <w:szCs w:val="20"/>
                <w:rtl w:val="0"/>
              </w:rPr>
              <w:t xml:space="preserve">Wolney Conde</w:t>
            </w:r>
          </w:p>
        </w:tc>
      </w:tr>
      <w:tr>
        <w:tc>
          <w:tcPr>
            <w:vAlign w:val="center"/>
          </w:tcPr>
          <w:p w:rsidR="00000000" w:rsidDel="00000000" w:rsidP="00000000" w:rsidRDefault="00000000" w:rsidRPr="00000000">
            <w:pPr>
              <w:pBdr/>
              <w:contextualSpacing w:val="0"/>
              <w:jc w:val="center"/>
              <w:rPr>
                <w:rFonts w:ascii="Arial" w:cs="Arial" w:eastAsia="Arial" w:hAnsi="Arial"/>
                <w:sz w:val="36"/>
                <w:szCs w:val="36"/>
              </w:rPr>
            </w:pPr>
            <w:r w:rsidDel="00000000" w:rsidR="00000000" w:rsidRPr="00000000">
              <w:rPr>
                <w:rFonts w:ascii="Arial Black" w:cs="Arial Black" w:eastAsia="Arial Black" w:hAnsi="Arial Black"/>
                <w:sz w:val="16"/>
                <w:szCs w:val="16"/>
                <w:rtl w:val="0"/>
              </w:rPr>
              <w:t xml:space="preserve">23/06</w:t>
            </w:r>
            <w:r w:rsidDel="00000000" w:rsidR="00000000" w:rsidRPr="00000000">
              <w:rPr>
                <w:rtl w:val="0"/>
              </w:rPr>
            </w:r>
          </w:p>
        </w:tc>
        <w:tc>
          <w:tcPr>
            <w:vAlign w:val="center"/>
          </w:tcPr>
          <w:p w:rsidR="00000000" w:rsidDel="00000000" w:rsidP="00000000" w:rsidRDefault="00000000" w:rsidRPr="00000000">
            <w:pPr>
              <w:pBdr/>
              <w:contextualSpacing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Aula com exercícios práticos</w:t>
            </w:r>
            <w:r w:rsidDel="00000000" w:rsidR="00000000" w:rsidRPr="00000000">
              <w:rPr>
                <w:rtl w:val="0"/>
              </w:rPr>
            </w:r>
          </w:p>
        </w:tc>
        <w:tc>
          <w:tcPr>
            <w:vAlign w:val="center"/>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Wolney Conde</w:t>
            </w:r>
          </w:p>
        </w:tc>
      </w:tr>
      <w:tr>
        <w:tc>
          <w:tcPr>
            <w:vAlign w:val="center"/>
          </w:tcPr>
          <w:p w:rsidR="00000000" w:rsidDel="00000000" w:rsidP="00000000" w:rsidRDefault="00000000" w:rsidRPr="00000000">
            <w:pPr>
              <w:pBdr/>
              <w:contextualSpacing w:val="0"/>
              <w:jc w:val="center"/>
              <w:rPr>
                <w:rFonts w:ascii="Arial" w:cs="Arial" w:eastAsia="Arial" w:hAnsi="Arial"/>
                <w:sz w:val="36"/>
                <w:szCs w:val="36"/>
              </w:rPr>
            </w:pPr>
            <w:r w:rsidDel="00000000" w:rsidR="00000000" w:rsidRPr="00000000">
              <w:rPr>
                <w:rFonts w:ascii="Arial Black" w:cs="Arial Black" w:eastAsia="Arial Black" w:hAnsi="Arial Black"/>
                <w:sz w:val="16"/>
                <w:szCs w:val="16"/>
                <w:rtl w:val="0"/>
              </w:rPr>
              <w:t xml:space="preserve">28/06</w:t>
            </w:r>
            <w:r w:rsidDel="00000000" w:rsidR="00000000" w:rsidRPr="00000000">
              <w:rPr>
                <w:rtl w:val="0"/>
              </w:rPr>
            </w:r>
          </w:p>
        </w:tc>
        <w:tc>
          <w:tcPr>
            <w:vAlign w:val="center"/>
          </w:tcPr>
          <w:p w:rsidR="00000000" w:rsidDel="00000000" w:rsidP="00000000" w:rsidRDefault="00000000" w:rsidRPr="00000000">
            <w:pPr>
              <w:pBdr/>
              <w:contextualSpacing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Lanpop - Aula Prática/ Exercícios práticos (DXA/BIA)</w:t>
            </w:r>
            <w:r w:rsidDel="00000000" w:rsidR="00000000" w:rsidRPr="00000000">
              <w:rPr>
                <w:rtl w:val="0"/>
              </w:rPr>
            </w:r>
          </w:p>
        </w:tc>
        <w:tc>
          <w:tcPr>
            <w:vAlign w:val="center"/>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Wolney Conde </w:t>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[Convidados]</w:t>
            </w:r>
            <w:r w:rsidDel="00000000" w:rsidR="00000000" w:rsidRPr="00000000">
              <w:rPr>
                <w:rtl w:val="0"/>
              </w:rPr>
            </w:r>
          </w:p>
        </w:tc>
      </w:tr>
      <w:tr>
        <w:tc>
          <w:tcPr>
            <w:vAlign w:val="center"/>
          </w:tcPr>
          <w:p w:rsidR="00000000" w:rsidDel="00000000" w:rsidP="00000000" w:rsidRDefault="00000000" w:rsidRPr="00000000">
            <w:pPr>
              <w:pBdr/>
              <w:contextualSpacing w:val="0"/>
              <w:jc w:val="center"/>
              <w:rPr>
                <w:rFonts w:ascii="Arial Black" w:cs="Arial Black" w:eastAsia="Arial Black" w:hAnsi="Arial Black"/>
                <w:sz w:val="16"/>
                <w:szCs w:val="16"/>
              </w:rPr>
            </w:pPr>
            <w:r w:rsidDel="00000000" w:rsidR="00000000" w:rsidRPr="00000000">
              <w:rPr>
                <w:rFonts w:ascii="Arial Black" w:cs="Arial Black" w:eastAsia="Arial Black" w:hAnsi="Arial Black"/>
                <w:sz w:val="16"/>
                <w:szCs w:val="16"/>
                <w:rtl w:val="0"/>
              </w:rPr>
              <w:t xml:space="preserve">*30/06</w:t>
            </w:r>
          </w:p>
        </w:tc>
        <w:tc>
          <w:tcPr>
            <w:vAlign w:val="center"/>
          </w:tcPr>
          <w:p w:rsidR="00000000" w:rsidDel="00000000" w:rsidP="00000000" w:rsidRDefault="00000000" w:rsidRPr="00000000">
            <w:pPr>
              <w:pBd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Avaliação Nutricional em populações e indivíduos &amp; temas da atualidade.</w:t>
            </w:r>
          </w:p>
          <w:p w:rsidR="00000000" w:rsidDel="00000000" w:rsidP="00000000" w:rsidRDefault="00000000" w:rsidRPr="00000000">
            <w:pPr>
              <w:keepNext w:val="0"/>
              <w:keepLines w:val="0"/>
              <w:widowControl w:val="0"/>
              <w:numPr>
                <w:ilvl w:val="0"/>
                <w:numId w:val="1"/>
              </w:numPr>
              <w:pBdr/>
              <w:spacing w:after="0" w:before="0" w:line="240" w:lineRule="auto"/>
              <w:ind w:left="454" w:right="0" w:hanging="227"/>
              <w:contextualSpacing w:val="1"/>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O IMC ao final da adolescência e os riscos para adultos; </w:t>
            </w:r>
          </w:p>
          <w:p w:rsidR="00000000" w:rsidDel="00000000" w:rsidP="00000000" w:rsidRDefault="00000000" w:rsidRPr="00000000">
            <w:pPr>
              <w:keepNext w:val="0"/>
              <w:keepLines w:val="0"/>
              <w:widowControl w:val="0"/>
              <w:numPr>
                <w:ilvl w:val="0"/>
                <w:numId w:val="1"/>
              </w:numPr>
              <w:pBdr/>
              <w:spacing w:after="0" w:before="0" w:line="240" w:lineRule="auto"/>
              <w:ind w:left="454" w:right="0" w:hanging="227"/>
              <w:contextualSpacing w:val="1"/>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 Erros de medidas e a estimativa de prevalência do déficit de altura; </w:t>
            </w:r>
          </w:p>
          <w:p w:rsidR="00000000" w:rsidDel="00000000" w:rsidP="00000000" w:rsidRDefault="00000000" w:rsidRPr="00000000">
            <w:pPr>
              <w:keepNext w:val="0"/>
              <w:keepLines w:val="0"/>
              <w:widowControl w:val="0"/>
              <w:numPr>
                <w:ilvl w:val="0"/>
                <w:numId w:val="1"/>
              </w:numPr>
              <w:pBdr/>
              <w:spacing w:after="0" w:before="0" w:line="240" w:lineRule="auto"/>
              <w:ind w:left="454" w:right="0" w:hanging="227"/>
              <w:contextualSpacing w:val="1"/>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 evolução do estado nutricional em crianças gravemente enfermas. </w:t>
            </w:r>
          </w:p>
          <w:p w:rsidR="00000000" w:rsidDel="00000000" w:rsidP="00000000" w:rsidRDefault="00000000" w:rsidRPr="00000000">
            <w:pPr>
              <w:pBd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[Seminários]</w:t>
            </w:r>
          </w:p>
        </w:tc>
        <w:tc>
          <w:tcPr>
            <w:vAlign w:val="center"/>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Wolney Conde</w:t>
            </w:r>
          </w:p>
        </w:tc>
      </w:tr>
      <w:tr>
        <w:tc>
          <w:tcPr>
            <w:vAlign w:val="center"/>
          </w:tcPr>
          <w:p w:rsidR="00000000" w:rsidDel="00000000" w:rsidP="00000000" w:rsidRDefault="00000000" w:rsidRPr="00000000">
            <w:pPr>
              <w:pBdr/>
              <w:contextualSpacing w:val="0"/>
              <w:jc w:val="center"/>
              <w:rPr>
                <w:rFonts w:ascii="Arial" w:cs="Arial" w:eastAsia="Arial" w:hAnsi="Arial"/>
                <w:sz w:val="36"/>
                <w:szCs w:val="36"/>
              </w:rPr>
            </w:pPr>
            <w:r w:rsidDel="00000000" w:rsidR="00000000" w:rsidRPr="00000000">
              <w:rPr>
                <w:rFonts w:ascii="Arial Black" w:cs="Arial Black" w:eastAsia="Arial Black" w:hAnsi="Arial Black"/>
                <w:sz w:val="16"/>
                <w:szCs w:val="16"/>
                <w:rtl w:val="0"/>
              </w:rPr>
              <w:t xml:space="preserve">03/07</w:t>
            </w:r>
            <w:r w:rsidDel="00000000" w:rsidR="00000000" w:rsidRPr="00000000">
              <w:rPr>
                <w:rtl w:val="0"/>
              </w:rPr>
            </w:r>
          </w:p>
        </w:tc>
        <w:tc>
          <w:tcPr>
            <w:vAlign w:val="center"/>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 Prova</w:t>
            </w:r>
            <w:r w:rsidDel="00000000" w:rsidR="00000000" w:rsidRPr="00000000">
              <w:rPr>
                <w:rtl w:val="0"/>
              </w:rPr>
            </w:r>
          </w:p>
        </w:tc>
        <w:tc>
          <w:tcPr>
            <w:vAlign w:val="center"/>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Wolney Conde</w:t>
            </w:r>
          </w:p>
        </w:tc>
      </w:tr>
    </w:tbl>
    <w:p w:rsidR="00000000" w:rsidDel="00000000" w:rsidP="00000000" w:rsidRDefault="00000000" w:rsidRPr="00000000">
      <w:pPr>
        <w:pBdr/>
        <w:contextualSpacing w:val="0"/>
        <w:jc w:val="both"/>
        <w:rPr>
          <w:rFonts w:ascii="Arial Narrow" w:cs="Arial Narrow" w:eastAsia="Arial Narrow" w:hAnsi="Arial Narrow"/>
          <w:sz w:val="20"/>
          <w:szCs w:val="20"/>
          <w:u w:val="single"/>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sz w:val="20"/>
          <w:szCs w:val="20"/>
          <w:u w:val="single"/>
          <w:rtl w:val="0"/>
        </w:rPr>
        <w:t xml:space="preserve">*Possível dia para reposição da aula do dia 28/04.</w:t>
      </w:r>
    </w:p>
    <w:p w:rsidR="00000000" w:rsidDel="00000000" w:rsidP="00000000" w:rsidRDefault="00000000" w:rsidRPr="00000000">
      <w:pPr>
        <w:pBdr/>
        <w:contextualSpacing w:val="0"/>
        <w:jc w:val="both"/>
        <w:rPr>
          <w:rFonts w:ascii="Arial Narrow" w:cs="Arial Narrow" w:eastAsia="Arial Narrow" w:hAnsi="Arial Narrow"/>
          <w:b w:val="1"/>
          <w:sz w:val="20"/>
          <w:szCs w:val="20"/>
          <w:u w:val="single"/>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b w:val="1"/>
          <w:sz w:val="20"/>
          <w:szCs w:val="20"/>
          <w:u w:val="single"/>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PROCEDIMENTOS DIDÁTICOS</w:t>
      </w:r>
      <w:r w:rsidDel="00000000" w:rsidR="00000000" w:rsidRPr="00000000">
        <w:rPr>
          <w:rFonts w:ascii="Arial Narrow" w:cs="Arial Narrow" w:eastAsia="Arial Narrow" w:hAnsi="Arial Narrow"/>
          <w:sz w:val="20"/>
          <w:szCs w:val="20"/>
          <w:rtl w:val="0"/>
        </w:rPr>
        <w:t xml:space="preserve">: aulas expositivas e exercícios..</w:t>
      </w:r>
    </w:p>
    <w:p w:rsidR="00000000" w:rsidDel="00000000" w:rsidP="00000000" w:rsidRDefault="00000000" w:rsidRPr="00000000">
      <w:pPr>
        <w:pBdr/>
        <w:contextualSpacing w:val="0"/>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CRITÉRIOS DE AVALIAÇÃO</w:t>
      </w:r>
      <w:r w:rsidDel="00000000" w:rsidR="00000000" w:rsidRPr="00000000">
        <w:rPr>
          <w:rFonts w:ascii="Arial Narrow" w:cs="Arial Narrow" w:eastAsia="Arial Narrow" w:hAnsi="Arial Narrow"/>
          <w:sz w:val="20"/>
          <w:szCs w:val="20"/>
          <w:rtl w:val="0"/>
        </w:rPr>
        <w:t xml:space="preserve">: A nota final da disciplina será calculada pela soma das notas da prova (peso 85%) mais as notas dos Exercícios (peso 15%). A prova será elaborada com questões dissertativas ou do tipo </w:t>
      </w:r>
      <w:r w:rsidDel="00000000" w:rsidR="00000000" w:rsidRPr="00000000">
        <w:rPr>
          <w:rFonts w:ascii="Arial Narrow" w:cs="Arial Narrow" w:eastAsia="Arial Narrow" w:hAnsi="Arial Narrow"/>
          <w:i w:val="1"/>
          <w:sz w:val="20"/>
          <w:szCs w:val="20"/>
          <w:rtl w:val="0"/>
        </w:rPr>
        <w:t xml:space="preserve">teste</w:t>
      </w:r>
      <w:r w:rsidDel="00000000" w:rsidR="00000000" w:rsidRPr="00000000">
        <w:rPr>
          <w:rFonts w:ascii="Arial Narrow" w:cs="Arial Narrow" w:eastAsia="Arial Narrow" w:hAnsi="Arial Narrow"/>
          <w:sz w:val="20"/>
          <w:szCs w:val="20"/>
          <w:rtl w:val="0"/>
        </w:rPr>
        <w:t xml:space="preserve"> sobre os temas de aula abordados em cada bloco da disciplina. Como parte da avaliação da prova, uma questão será entregue em data pertinente em sala de aula, sendo cada questão individual e intransferível para que cada aluno desenvolva a questão durante a disciplina em duas etapas diferentes, que serão entregues em cada dia de prova ao professor em sala de aula, como parte integrante da nota da prova.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Bdr/>
        <w:contextualSpacing w:val="0"/>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b w:val="1"/>
          <w:sz w:val="20"/>
          <w:szCs w:val="20"/>
          <w:u w:val="single"/>
          <w:rtl w:val="0"/>
        </w:rPr>
        <w:t xml:space="preserve">BIBLIOGRAFIA</w:t>
      </w:r>
      <w:r w:rsidDel="00000000" w:rsidR="00000000" w:rsidRPr="00000000">
        <w:rPr>
          <w:rtl w:val="0"/>
        </w:rPr>
      </w:r>
    </w:p>
    <w:p w:rsidR="00000000" w:rsidDel="00000000" w:rsidP="00000000" w:rsidRDefault="00000000" w:rsidRPr="00000000">
      <w:pPr>
        <w:pBdr/>
        <w:contextualSpacing w:val="0"/>
        <w:rPr>
          <w:rFonts w:ascii="Arial Narrow" w:cs="Arial Narrow" w:eastAsia="Arial Narrow" w:hAnsi="Arial Narrow"/>
          <w:sz w:val="20"/>
          <w:szCs w:val="20"/>
          <w:u w:val="single"/>
        </w:rPr>
      </w:pPr>
      <w:r w:rsidDel="00000000" w:rsidR="00000000" w:rsidRPr="00000000">
        <w:rPr>
          <w:rtl w:val="0"/>
        </w:rPr>
      </w:r>
    </w:p>
    <w:tbl>
      <w:tblPr>
        <w:tblStyle w:val="Table2"/>
        <w:bidiVisual w:val="0"/>
        <w:tblW w:w="8996.0" w:type="dxa"/>
        <w:jc w:val="center"/>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000"/>
      </w:tblPr>
      <w:tblGrid>
        <w:gridCol w:w="1415"/>
        <w:gridCol w:w="7581"/>
        <w:tblGridChange w:id="0">
          <w:tblGrid>
            <w:gridCol w:w="1415"/>
            <w:gridCol w:w="7581"/>
          </w:tblGrid>
        </w:tblGridChange>
      </w:tblGrid>
      <w:tr>
        <w:trPr>
          <w:trHeight w:val="260" w:hRule="atLeast"/>
        </w:trPr>
        <w:tc>
          <w:tcPr>
            <w:vMerge w:val="restart"/>
            <w:tcBorders>
              <w:top w:color="000000" w:space="0" w:sz="18" w:val="single"/>
              <w:bottom w:color="000000" w:space="0" w:sz="18" w:val="single"/>
              <w:right w:color="000000" w:space="0" w:sz="18" w:val="single"/>
            </w:tcBorders>
            <w:vAlign w:val="center"/>
          </w:tcPr>
          <w:p w:rsidR="00000000" w:rsidDel="00000000" w:rsidP="00000000" w:rsidRDefault="00000000" w:rsidRPr="00000000">
            <w:pPr>
              <w:pBdr/>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Básica</w:t>
            </w:r>
            <w:r w:rsidDel="00000000" w:rsidR="00000000" w:rsidRPr="00000000">
              <w:rPr>
                <w:rtl w:val="0"/>
              </w:rPr>
            </w:r>
          </w:p>
        </w:tc>
        <w:tc>
          <w:tcPr>
            <w:tcBorders>
              <w:top w:color="000000" w:space="0" w:sz="18" w:val="single"/>
              <w:left w:color="000000" w:space="0" w:sz="18" w:val="single"/>
            </w:tcBorders>
            <w:vAlign w:val="center"/>
          </w:tcPr>
          <w:p w:rsidR="00000000" w:rsidDel="00000000" w:rsidP="00000000" w:rsidRDefault="00000000" w:rsidRPr="00000000">
            <w:pPr>
              <w:pBdr/>
              <w:contextualSpacing w:val="0"/>
              <w:rPr/>
            </w:pPr>
            <w:r w:rsidDel="00000000" w:rsidR="00000000" w:rsidRPr="00000000">
              <w:rPr>
                <w:rtl w:val="0"/>
              </w:rPr>
              <w:t xml:space="preserve">World Health Organization. </w:t>
            </w:r>
            <w:r w:rsidDel="00000000" w:rsidR="00000000" w:rsidRPr="00000000">
              <w:rPr>
                <w:b w:val="1"/>
                <w:rtl w:val="0"/>
              </w:rPr>
              <w:t xml:space="preserve">Physical status: the use and interpretation of anthropometry </w:t>
            </w:r>
            <w:r w:rsidDel="00000000" w:rsidR="00000000" w:rsidRPr="00000000">
              <w:rPr>
                <w:rtl w:val="0"/>
              </w:rPr>
              <w:t xml:space="preserve">Report of a WHO Expert Committee. Geneba. 1995</w:t>
            </w:r>
          </w:p>
          <w:p w:rsidR="00000000" w:rsidDel="00000000" w:rsidP="00000000" w:rsidRDefault="00000000" w:rsidRPr="00000000">
            <w:pPr>
              <w:pBdr/>
              <w:contextualSpacing w:val="0"/>
              <w:rPr/>
            </w:pPr>
            <w:hyperlink r:id="rId5">
              <w:r w:rsidDel="00000000" w:rsidR="00000000" w:rsidRPr="00000000">
                <w:rPr>
                  <w:color w:val="1155cc"/>
                  <w:u w:val="single"/>
                  <w:rtl w:val="0"/>
                </w:rPr>
                <w:t xml:space="preserve">http://www.who.int/childgrowth/publications/physical_status/en/</w:t>
              </w:r>
            </w:hyperlink>
            <w:r w:rsidDel="00000000" w:rsidR="00000000" w:rsidRPr="00000000">
              <w:rPr>
                <w:rtl w:val="0"/>
              </w:rPr>
              <w:t xml:space="preserve"> </w:t>
            </w:r>
          </w:p>
        </w:tc>
      </w:tr>
      <w:tr>
        <w:trPr>
          <w:trHeight w:val="160" w:hRule="atLeast"/>
        </w:trPr>
        <w:tc>
          <w:tcPr>
            <w:vMerge w:val="continue"/>
            <w:tcBorders>
              <w:top w:color="000000" w:space="0" w:sz="18" w:val="single"/>
              <w:bottom w:color="000000" w:space="0" w:sz="18" w:val="single"/>
              <w:right w:color="000000" w:space="0" w:sz="18" w:val="single"/>
            </w:tcBorders>
            <w:vAlign w:val="center"/>
          </w:tcPr>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tl w:val="0"/>
              </w:rPr>
            </w:r>
          </w:p>
        </w:tc>
        <w:tc>
          <w:tcPr>
            <w:tcBorders>
              <w:top w:color="000000" w:space="0" w:sz="18" w:val="single"/>
              <w:left w:color="000000" w:space="0" w:sz="18" w:val="single"/>
            </w:tcBorders>
            <w:vAlign w:val="center"/>
          </w:tcPr>
          <w:p w:rsidR="00000000" w:rsidDel="00000000" w:rsidP="00000000" w:rsidRDefault="00000000" w:rsidRPr="00000000">
            <w:pPr>
              <w:pBdr/>
              <w:contextualSpacing w:val="0"/>
              <w:rPr/>
            </w:pPr>
            <w:r w:rsidDel="00000000" w:rsidR="00000000" w:rsidRPr="00000000">
              <w:rPr>
                <w:rtl w:val="0"/>
              </w:rPr>
              <w:t xml:space="preserve">Reis NT, Calixto-lima L. Interpretação de exames laboratoriais aplicados à Nutrição Clínica. São Paulo: Rubio, 2012</w:t>
            </w:r>
          </w:p>
        </w:tc>
      </w:tr>
      <w:tr>
        <w:trPr>
          <w:trHeight w:val="160" w:hRule="atLeast"/>
        </w:trPr>
        <w:tc>
          <w:tcPr>
            <w:vMerge w:val="continue"/>
            <w:tcBorders>
              <w:top w:color="000000" w:space="0" w:sz="18" w:val="single"/>
              <w:bottom w:color="000000" w:space="0" w:sz="18" w:val="single"/>
              <w:right w:color="000000" w:space="0" w:sz="18" w:val="single"/>
            </w:tcBorders>
            <w:vAlign w:val="center"/>
          </w:tcPr>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tl w:val="0"/>
              </w:rPr>
            </w:r>
          </w:p>
        </w:tc>
        <w:tc>
          <w:tcPr>
            <w:tcBorders>
              <w:left w:color="000000" w:space="0" w:sz="18" w:val="single"/>
            </w:tcBorders>
            <w:vAlign w:val="center"/>
          </w:tcPr>
          <w:p w:rsidR="00000000" w:rsidDel="00000000" w:rsidP="00000000" w:rsidRDefault="00000000" w:rsidRPr="00000000">
            <w:pPr>
              <w:pBdr/>
              <w:contextualSpacing w:val="0"/>
              <w:rPr/>
            </w:pPr>
            <w:r w:rsidDel="00000000" w:rsidR="00000000" w:rsidRPr="00000000">
              <w:rPr>
                <w:rtl w:val="0"/>
              </w:rPr>
              <w:t xml:space="preserve">Burtis, CA,  Ashwood ER, Bruns DE. Tietz Fundamentals of clinical chemistry.6th ed. Philadelphia: W.B. Saunders; 2012.</w:t>
            </w:r>
          </w:p>
        </w:tc>
      </w:tr>
      <w:tr>
        <w:trPr>
          <w:trHeight w:val="160" w:hRule="atLeast"/>
        </w:trPr>
        <w:tc>
          <w:tcPr>
            <w:vMerge w:val="continue"/>
            <w:tcBorders>
              <w:top w:color="000000" w:space="0" w:sz="18" w:val="single"/>
              <w:bottom w:color="000000" w:space="0" w:sz="18" w:val="single"/>
              <w:right w:color="000000" w:space="0" w:sz="18" w:val="single"/>
            </w:tcBorders>
            <w:vAlign w:val="center"/>
          </w:tcPr>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tl w:val="0"/>
              </w:rPr>
            </w:r>
          </w:p>
        </w:tc>
        <w:tc>
          <w:tcPr>
            <w:tcBorders>
              <w:left w:color="000000" w:space="0" w:sz="18" w:val="single"/>
              <w:bottom w:color="000000" w:space="0" w:sz="4" w:val="single"/>
            </w:tcBorders>
            <w:vAlign w:val="center"/>
          </w:tcPr>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Livro 4</w:t>
            </w:r>
          </w:p>
        </w:tc>
      </w:tr>
      <w:tr>
        <w:trPr>
          <w:trHeight w:val="160" w:hRule="atLeast"/>
        </w:trPr>
        <w:tc>
          <w:tcPr>
            <w:vMerge w:val="continue"/>
            <w:tcBorders>
              <w:top w:color="000000" w:space="0" w:sz="18" w:val="single"/>
              <w:bottom w:color="000000" w:space="0" w:sz="18" w:val="single"/>
              <w:right w:color="000000" w:space="0" w:sz="18" w:val="single"/>
            </w:tcBorders>
            <w:vAlign w:val="center"/>
          </w:tcPr>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tl w:val="0"/>
              </w:rPr>
            </w:r>
          </w:p>
        </w:tc>
        <w:tc>
          <w:tcPr>
            <w:tcBorders>
              <w:left w:color="000000" w:space="0" w:sz="18" w:val="single"/>
              <w:bottom w:color="000000" w:space="0" w:sz="18" w:val="single"/>
            </w:tcBorders>
            <w:vAlign w:val="center"/>
          </w:tcPr>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Livro 5</w:t>
            </w:r>
          </w:p>
        </w:tc>
      </w:tr>
      <w:tr>
        <w:trPr>
          <w:trHeight w:val="240" w:hRule="atLeast"/>
        </w:trPr>
        <w:tc>
          <w:tcPr>
            <w:vMerge w:val="restart"/>
            <w:tcBorders>
              <w:bottom w:color="000000" w:space="0" w:sz="18" w:val="single"/>
              <w:right w:color="000000" w:space="0" w:sz="18" w:val="single"/>
            </w:tcBorders>
            <w:vAlign w:val="center"/>
          </w:tcPr>
          <w:p w:rsidR="00000000" w:rsidDel="00000000" w:rsidP="00000000" w:rsidRDefault="00000000" w:rsidRPr="00000000">
            <w:pPr>
              <w:pBdr/>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Complementar</w:t>
            </w:r>
            <w:r w:rsidDel="00000000" w:rsidR="00000000" w:rsidRPr="00000000">
              <w:rPr>
                <w:rtl w:val="0"/>
              </w:rPr>
            </w:r>
          </w:p>
        </w:tc>
        <w:tc>
          <w:tcPr>
            <w:tcBorders>
              <w:top w:color="000000" w:space="0" w:sz="18" w:val="single"/>
              <w:left w:color="000000" w:space="0" w:sz="18" w:val="single"/>
            </w:tcBorders>
            <w:vAlign w:val="center"/>
          </w:tcPr>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tl w:val="0"/>
              </w:rPr>
              <w:t xml:space="preserve">Rossi L, Caruso L, Galante AP. Avaliação nutricional: novas perspectivas. São Paulo: Roca/Centro Universitário São Camilo; 2009.</w:t>
            </w:r>
            <w:r w:rsidDel="00000000" w:rsidR="00000000" w:rsidRPr="00000000">
              <w:rPr>
                <w:rtl w:val="0"/>
              </w:rPr>
            </w:r>
          </w:p>
        </w:tc>
      </w:tr>
      <w:tr>
        <w:trPr>
          <w:trHeight w:val="160" w:hRule="atLeast"/>
        </w:trPr>
        <w:tc>
          <w:tcPr>
            <w:vMerge w:val="continue"/>
            <w:tcBorders>
              <w:bottom w:color="000000" w:space="0" w:sz="18" w:val="single"/>
              <w:right w:color="000000" w:space="0" w:sz="18" w:val="single"/>
            </w:tcBorders>
            <w:vAlign w:val="center"/>
          </w:tcPr>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tl w:val="0"/>
              </w:rPr>
            </w:r>
          </w:p>
        </w:tc>
        <w:tc>
          <w:tcPr>
            <w:tcBorders>
              <w:left w:color="000000" w:space="0" w:sz="18" w:val="single"/>
            </w:tcBorders>
            <w:vAlign w:val="center"/>
          </w:tcPr>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tl w:val="0"/>
              </w:rPr>
              <w:t xml:space="preserve">Tirapegui J, Ribeiro SML Avaliação nutricional: teoria e prática. Rio de Janeiro: Guanabara Koogan; 2009.</w:t>
            </w:r>
            <w:r w:rsidDel="00000000" w:rsidR="00000000" w:rsidRPr="00000000">
              <w:rPr>
                <w:rtl w:val="0"/>
              </w:rPr>
            </w:r>
          </w:p>
        </w:tc>
      </w:tr>
      <w:tr>
        <w:trPr>
          <w:trHeight w:val="160" w:hRule="atLeast"/>
        </w:trPr>
        <w:tc>
          <w:tcPr>
            <w:vMerge w:val="continue"/>
            <w:tcBorders>
              <w:bottom w:color="000000" w:space="0" w:sz="18" w:val="single"/>
              <w:right w:color="000000" w:space="0" w:sz="18" w:val="single"/>
            </w:tcBorders>
            <w:vAlign w:val="center"/>
          </w:tcPr>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tl w:val="0"/>
              </w:rPr>
            </w:r>
          </w:p>
        </w:tc>
        <w:tc>
          <w:tcPr>
            <w:tcBorders>
              <w:left w:color="000000" w:space="0" w:sz="18" w:val="single"/>
              <w:bottom w:color="000000" w:space="0" w:sz="4" w:val="single"/>
            </w:tcBorders>
            <w:vAlign w:val="center"/>
          </w:tcPr>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Livro 3</w:t>
            </w:r>
          </w:p>
        </w:tc>
      </w:tr>
      <w:tr>
        <w:trPr>
          <w:trHeight w:val="160" w:hRule="atLeast"/>
        </w:trPr>
        <w:tc>
          <w:tcPr>
            <w:vMerge w:val="continue"/>
            <w:tcBorders>
              <w:bottom w:color="000000" w:space="0" w:sz="18" w:val="single"/>
              <w:right w:color="000000" w:space="0" w:sz="18" w:val="single"/>
            </w:tcBorders>
            <w:vAlign w:val="center"/>
          </w:tcPr>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tl w:val="0"/>
              </w:rPr>
            </w:r>
          </w:p>
        </w:tc>
        <w:tc>
          <w:tcPr>
            <w:tcBorders>
              <w:left w:color="000000" w:space="0" w:sz="18" w:val="single"/>
              <w:bottom w:color="000000" w:space="0" w:sz="4" w:val="single"/>
            </w:tcBorders>
            <w:vAlign w:val="center"/>
          </w:tcPr>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Livro 4</w:t>
            </w:r>
          </w:p>
        </w:tc>
      </w:tr>
      <w:tr>
        <w:trPr>
          <w:trHeight w:val="160" w:hRule="atLeast"/>
        </w:trPr>
        <w:tc>
          <w:tcPr>
            <w:vMerge w:val="continue"/>
            <w:tcBorders>
              <w:bottom w:color="000000" w:space="0" w:sz="18" w:val="single"/>
              <w:right w:color="000000" w:space="0" w:sz="18" w:val="single"/>
            </w:tcBorders>
            <w:vAlign w:val="center"/>
          </w:tcPr>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tl w:val="0"/>
              </w:rPr>
            </w:r>
          </w:p>
        </w:tc>
        <w:tc>
          <w:tcPr>
            <w:tcBorders>
              <w:left w:color="000000" w:space="0" w:sz="18" w:val="single"/>
              <w:bottom w:color="000000" w:space="0" w:sz="18" w:val="single"/>
            </w:tcBorders>
            <w:vAlign w:val="center"/>
          </w:tcPr>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Livro 5</w:t>
            </w:r>
          </w:p>
        </w:tc>
      </w:tr>
    </w:tbl>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pBdr/>
        <w:contextualSpacing w:val="0"/>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b w:val="1"/>
          <w:sz w:val="20"/>
          <w:szCs w:val="20"/>
          <w:u w:val="single"/>
          <w:rtl w:val="0"/>
        </w:rPr>
        <w:t xml:space="preserve">OUTRAS FONTES</w:t>
      </w:r>
      <w:r w:rsidDel="00000000" w:rsidR="00000000" w:rsidRPr="00000000">
        <w:rPr>
          <w:rtl w:val="0"/>
        </w:rPr>
      </w:r>
    </w:p>
    <w:p w:rsidR="00000000" w:rsidDel="00000000" w:rsidP="00000000" w:rsidRDefault="00000000" w:rsidRPr="00000000">
      <w:pPr>
        <w:pBdr/>
        <w:contextualSpacing w:val="0"/>
        <w:rPr>
          <w:rFonts w:ascii="Arial Narrow" w:cs="Arial Narrow" w:eastAsia="Arial Narrow" w:hAnsi="Arial Narrow"/>
          <w:sz w:val="20"/>
          <w:szCs w:val="20"/>
          <w:u w:val="single"/>
        </w:rPr>
      </w:pPr>
      <w:r w:rsidDel="00000000" w:rsidR="00000000" w:rsidRPr="00000000">
        <w:rPr>
          <w:rtl w:val="0"/>
        </w:rPr>
      </w:r>
    </w:p>
    <w:tbl>
      <w:tblPr>
        <w:tblStyle w:val="Table3"/>
        <w:bidiVisual w:val="0"/>
        <w:tblW w:w="1005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151"/>
        <w:gridCol w:w="5899"/>
        <w:tblGridChange w:id="0">
          <w:tblGrid>
            <w:gridCol w:w="4151"/>
            <w:gridCol w:w="5899"/>
          </w:tblGrid>
        </w:tblGridChange>
      </w:tblGrid>
      <w:tr>
        <w:trPr>
          <w:trHeight w:val="80" w:hRule="atLeast"/>
        </w:trPr>
        <w:tc>
          <w:tcPr>
            <w:tcBorders>
              <w:top w:color="000000" w:space="0" w:sz="18" w:val="single"/>
              <w:right w:color="000000" w:space="0" w:sz="18" w:val="single"/>
            </w:tcBorders>
          </w:tcPr>
          <w:p w:rsidR="00000000" w:rsidDel="00000000" w:rsidP="00000000" w:rsidRDefault="00000000" w:rsidRPr="00000000">
            <w:pPr>
              <w:pBdr/>
              <w:contextualSpacing w:val="0"/>
              <w:rPr>
                <w:rFonts w:ascii="Arial" w:cs="Arial" w:eastAsia="Arial" w:hAnsi="Arial"/>
                <w:sz w:val="20"/>
                <w:szCs w:val="20"/>
              </w:rPr>
            </w:pPr>
            <w:hyperlink r:id="rId6">
              <w:r w:rsidDel="00000000" w:rsidR="00000000" w:rsidRPr="00000000">
                <w:rPr>
                  <w:rFonts w:ascii="Arial" w:cs="Arial" w:eastAsia="Arial" w:hAnsi="Arial"/>
                  <w:color w:val="0000ff"/>
                  <w:sz w:val="20"/>
                  <w:szCs w:val="20"/>
                  <w:u w:val="single"/>
                  <w:rtl w:val="0"/>
                </w:rPr>
                <w:t xml:space="preserve">http://nutrition.uvm.edu/bodycomp/</w:t>
              </w:r>
            </w:hyperlink>
            <w:r w:rsidDel="00000000" w:rsidR="00000000" w:rsidRPr="00000000">
              <w:rPr>
                <w:rFonts w:ascii="Arial" w:cs="Arial" w:eastAsia="Arial" w:hAnsi="Arial"/>
                <w:sz w:val="20"/>
                <w:szCs w:val="20"/>
                <w:rtl w:val="0"/>
              </w:rPr>
              <w:t xml:space="preserve"> </w:t>
            </w:r>
          </w:p>
        </w:tc>
        <w:tc>
          <w:tcPr>
            <w:tcBorders>
              <w:top w:color="000000" w:space="0" w:sz="18" w:val="single"/>
              <w:left w:color="000000" w:space="0" w:sz="18" w:val="single"/>
            </w:tcBorders>
          </w:tcPr>
          <w:p w:rsidR="00000000" w:rsidDel="00000000" w:rsidP="00000000" w:rsidRDefault="00000000" w:rsidRPr="00000000">
            <w:pPr>
              <w:pBdr/>
              <w:contextualSpacing w:val="0"/>
              <w:rPr>
                <w:rFonts w:ascii="Arial" w:cs="Arial" w:eastAsia="Arial" w:hAnsi="Arial"/>
                <w:sz w:val="20"/>
                <w:szCs w:val="20"/>
              </w:rPr>
            </w:pPr>
            <w:hyperlink r:id="rId7">
              <w:r w:rsidDel="00000000" w:rsidR="00000000" w:rsidRPr="00000000">
                <w:rPr>
                  <w:rFonts w:ascii="Arial" w:cs="Arial" w:eastAsia="Arial" w:hAnsi="Arial"/>
                  <w:color w:val="0000ff"/>
                  <w:sz w:val="20"/>
                  <w:szCs w:val="20"/>
                  <w:u w:val="single"/>
                  <w:rtl w:val="0"/>
                </w:rPr>
                <w:t xml:space="preserve">http://www.ibge.gov.br</w:t>
              </w:r>
            </w:hyperlink>
            <w:r w:rsidDel="00000000" w:rsidR="00000000" w:rsidRPr="00000000">
              <w:rPr>
                <w:rFonts w:ascii="Arial" w:cs="Arial" w:eastAsia="Arial" w:hAnsi="Arial"/>
                <w:sz w:val="20"/>
                <w:szCs w:val="20"/>
                <w:rtl w:val="0"/>
              </w:rPr>
              <w:t xml:space="preserve"> (POF)</w:t>
            </w:r>
          </w:p>
        </w:tc>
      </w:tr>
      <w:tr>
        <w:trPr>
          <w:trHeight w:val="80" w:hRule="atLeast"/>
        </w:trPr>
        <w:tc>
          <w:tcPr>
            <w:tcBorders>
              <w:right w:color="000000" w:space="0" w:sz="18" w:val="single"/>
            </w:tcBorders>
          </w:tcPr>
          <w:p w:rsidR="00000000" w:rsidDel="00000000" w:rsidP="00000000" w:rsidRDefault="00000000" w:rsidRPr="00000000">
            <w:pPr>
              <w:pBdr/>
              <w:contextualSpacing w:val="0"/>
              <w:rPr>
                <w:rFonts w:ascii="Arial" w:cs="Arial" w:eastAsia="Arial" w:hAnsi="Arial"/>
                <w:sz w:val="20"/>
                <w:szCs w:val="20"/>
              </w:rPr>
            </w:pPr>
            <w:hyperlink r:id="rId8">
              <w:r w:rsidDel="00000000" w:rsidR="00000000" w:rsidRPr="00000000">
                <w:rPr>
                  <w:rFonts w:ascii="Arial" w:cs="Arial" w:eastAsia="Arial" w:hAnsi="Arial"/>
                  <w:color w:val="0000ff"/>
                  <w:sz w:val="20"/>
                  <w:szCs w:val="20"/>
                  <w:u w:val="single"/>
                  <w:rtl w:val="0"/>
                </w:rPr>
                <w:t xml:space="preserve">http://www.cdc.gov/nchs/nhanes/nhanes_questionnaires.htm</w:t>
              </w:r>
            </w:hyperlink>
            <w:r w:rsidDel="00000000" w:rsidR="00000000" w:rsidRPr="00000000">
              <w:rPr>
                <w:rFonts w:ascii="Arial" w:cs="Arial" w:eastAsia="Arial" w:hAnsi="Arial"/>
                <w:sz w:val="20"/>
                <w:szCs w:val="20"/>
                <w:rtl w:val="0"/>
              </w:rPr>
              <w:t xml:space="preserve">   </w:t>
            </w:r>
          </w:p>
        </w:tc>
        <w:tc>
          <w:tcPr>
            <w:tcBorders>
              <w:left w:color="000000" w:space="0" w:sz="18" w:val="single"/>
            </w:tcBorders>
          </w:tcPr>
          <w:p w:rsidR="00000000" w:rsidDel="00000000" w:rsidP="00000000" w:rsidRDefault="00000000" w:rsidRPr="00000000">
            <w:pPr>
              <w:pBdr/>
              <w:contextualSpacing w:val="0"/>
              <w:rPr>
                <w:rFonts w:ascii="Arial" w:cs="Arial" w:eastAsia="Arial" w:hAnsi="Arial"/>
                <w:sz w:val="20"/>
                <w:szCs w:val="20"/>
              </w:rPr>
            </w:pPr>
            <w:hyperlink r:id="rId9">
              <w:r w:rsidDel="00000000" w:rsidR="00000000" w:rsidRPr="00000000">
                <w:rPr>
                  <w:rFonts w:ascii="Arial" w:cs="Arial" w:eastAsia="Arial" w:hAnsi="Arial"/>
                  <w:color w:val="0000ff"/>
                  <w:sz w:val="20"/>
                  <w:szCs w:val="20"/>
                  <w:u w:val="single"/>
                  <w:rtl w:val="0"/>
                </w:rPr>
                <w:t xml:space="preserve">http://bibliotecas-cruesp.usp.br/unibibliweb/</w:t>
              </w:r>
            </w:hyperlink>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hyperlink r:id="rId10">
              <w:r w:rsidDel="00000000" w:rsidR="00000000" w:rsidRPr="00000000">
                <w:rPr>
                  <w:rFonts w:ascii="Arial" w:cs="Arial" w:eastAsia="Arial" w:hAnsi="Arial"/>
                  <w:color w:val="0000ff"/>
                  <w:sz w:val="20"/>
                  <w:szCs w:val="20"/>
                  <w:u w:val="single"/>
                  <w:rtl w:val="0"/>
                </w:rPr>
                <w:t xml:space="preserve">http://www.ncbi.nlm.nih.gov/PubMed</w:t>
              </w:r>
            </w:hyperlink>
            <w:r w:rsidDel="00000000" w:rsidR="00000000" w:rsidRPr="00000000">
              <w:rPr>
                <w:rtl w:val="0"/>
              </w:rPr>
            </w:r>
          </w:p>
        </w:tc>
      </w:tr>
      <w:tr>
        <w:trPr>
          <w:trHeight w:val="80" w:hRule="atLeast"/>
        </w:trPr>
        <w:tc>
          <w:tcPr>
            <w:tcBorders>
              <w:right w:color="000000" w:space="0" w:sz="18" w:val="single"/>
            </w:tcBorders>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left w:color="000000" w:space="0" w:sz="18" w:val="single"/>
            </w:tcBorders>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r>
        <w:trPr>
          <w:trHeight w:val="80" w:hRule="atLeast"/>
        </w:trPr>
        <w:tc>
          <w:tcPr>
            <w:tcBorders>
              <w:bottom w:color="000000" w:space="0" w:sz="18" w:val="single"/>
              <w:right w:color="000000" w:space="0" w:sz="18" w:val="single"/>
            </w:tcBorders>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c>
          <w:tcPr>
            <w:tcBorders>
              <w:left w:color="000000" w:space="0" w:sz="18" w:val="single"/>
              <w:bottom w:color="000000" w:space="0" w:sz="18" w:val="single"/>
            </w:tcBorders>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pPr>
        <w:pBdr/>
        <w:contextualSpacing w:val="0"/>
        <w:rPr>
          <w:rFonts w:ascii="Arial Narrow" w:cs="Arial Narrow" w:eastAsia="Arial Narrow" w:hAnsi="Arial Narrow"/>
          <w:sz w:val="20"/>
          <w:szCs w:val="20"/>
          <w:u w:val="single"/>
        </w:rPr>
      </w:pPr>
      <w:r w:rsidDel="00000000" w:rsidR="00000000" w:rsidRPr="00000000">
        <w:rPr>
          <w:rtl w:val="0"/>
        </w:rPr>
      </w:r>
    </w:p>
    <w:p w:rsidR="00000000" w:rsidDel="00000000" w:rsidP="00000000" w:rsidRDefault="00000000" w:rsidRPr="00000000">
      <w:pPr>
        <w:pBdr/>
        <w:contextualSpacing w:val="0"/>
        <w:rPr>
          <w:rFonts w:ascii="Arial Narrow" w:cs="Arial Narrow" w:eastAsia="Arial Narrow" w:hAnsi="Arial Narrow"/>
          <w:sz w:val="20"/>
          <w:szCs w:val="20"/>
          <w:u w:val="single"/>
        </w:rPr>
      </w:pPr>
      <w:r w:rsidDel="00000000" w:rsidR="00000000" w:rsidRPr="00000000">
        <w:rPr>
          <w:rtl w:val="0"/>
        </w:rPr>
      </w:r>
    </w:p>
    <w:p w:rsidR="00000000" w:rsidDel="00000000" w:rsidP="00000000" w:rsidRDefault="00000000" w:rsidRPr="00000000">
      <w:pPr>
        <w:pBdr/>
        <w:contextualSpacing w:val="0"/>
        <w:rPr>
          <w:rFonts w:ascii="Arial Narrow" w:cs="Arial Narrow" w:eastAsia="Arial Narrow" w:hAnsi="Arial Narrow"/>
          <w:sz w:val="20"/>
          <w:szCs w:val="20"/>
          <w:u w:val="single"/>
        </w:rPr>
      </w:pPr>
      <w:r w:rsidDel="00000000" w:rsidR="00000000" w:rsidRPr="00000000">
        <w:rPr>
          <w:rtl w:val="0"/>
        </w:rPr>
      </w:r>
    </w:p>
    <w:sectPr>
      <w:headerReference r:id="rId11" w:type="default"/>
      <w:pgSz w:h="15840" w:w="12240"/>
      <w:pgMar w:bottom="851" w:top="1134" w:left="851" w:right="85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Arial Black">
    <w:embedRegular w:fontKey="{00000000-0000-0000-0000-000000000000}" r:id="rId9"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center" w:pos="4680"/>
        <w:tab w:val="right" w:pos="9360"/>
      </w:tabs>
      <w:spacing w:before="567" w:lineRule="auto"/>
      <w:contextualSpacing w:val="0"/>
      <w:jc w:val="cente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Universidade de São Paulo </w:t>
    </w:r>
  </w:p>
  <w:p w:rsidR="00000000" w:rsidDel="00000000" w:rsidP="00000000" w:rsidRDefault="00000000" w:rsidRPr="00000000">
    <w:pPr>
      <w:pBdr/>
      <w:tabs>
        <w:tab w:val="center" w:pos="4680"/>
        <w:tab w:val="right" w:pos="9360"/>
      </w:tabs>
      <w:contextualSpacing w:val="0"/>
      <w:jc w:val="cente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Faculdade de Saúde Pública – Departamento de Nutrição</w:t>
    </w:r>
  </w:p>
  <w:p w:rsidR="00000000" w:rsidDel="00000000" w:rsidP="00000000" w:rsidRDefault="00000000" w:rsidRPr="00000000">
    <w:pPr>
      <w:pBdr/>
      <w:tabs>
        <w:tab w:val="center" w:pos="4680"/>
        <w:tab w:val="right" w:pos="9360"/>
      </w:tabs>
      <w:contextualSpacing w:val="0"/>
      <w:jc w:val="cente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____________</w:t>
    </w:r>
    <w:r w:rsidDel="00000000" w:rsidR="00000000" w:rsidRPr="00000000">
      <w:rPr>
        <w:rFonts w:ascii="Nunito" w:cs="Nunito" w:eastAsia="Nunito" w:hAnsi="Nunito"/>
        <w:b w:val="1"/>
        <w:sz w:val="20"/>
        <w:szCs w:val="20"/>
        <w:u w:val="single"/>
        <w:rtl w:val="0"/>
      </w:rPr>
      <w:t xml:space="preserve">Programa da Disciplina Avaliação do Estado Nutricional (HNT0210) 2016 [Diurno]</w:t>
    </w:r>
    <w:r w:rsidDel="00000000" w:rsidR="00000000" w:rsidRPr="00000000">
      <w:rPr>
        <w:rFonts w:ascii="Nunito" w:cs="Nunito" w:eastAsia="Nunito" w:hAnsi="Nunito"/>
        <w:b w:val="1"/>
        <w:sz w:val="20"/>
        <w:szCs w:val="20"/>
        <w:rtl w:val="0"/>
      </w:rPr>
      <w:t xml:space="preserve">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0"/>
      <w:pBd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pBd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pBd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pBd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pBd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0"/>
      <w:pBdr/>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1.xml"/><Relationship Id="rId10" Type="http://schemas.openxmlformats.org/officeDocument/2006/relationships/hyperlink" Target="http://www.ncbi.nlm.nih.gov/PubMed" TargetMode="External"/><Relationship Id="rId9" Type="http://schemas.openxmlformats.org/officeDocument/2006/relationships/hyperlink" Target="http://bibliotecas-cruesp.usp.br/unibibliweb/" TargetMode="External"/><Relationship Id="rId5" Type="http://schemas.openxmlformats.org/officeDocument/2006/relationships/hyperlink" Target="http://www.who.int/childgrowth/publications/physical_status/en/" TargetMode="External"/><Relationship Id="rId6" Type="http://schemas.openxmlformats.org/officeDocument/2006/relationships/hyperlink" Target="http://nutrition.uvm.edu/bodycomp/" TargetMode="External"/><Relationship Id="rId7" Type="http://schemas.openxmlformats.org/officeDocument/2006/relationships/hyperlink" Target="http://www.ibge.gov.br" TargetMode="External"/><Relationship Id="rId8" Type="http://schemas.openxmlformats.org/officeDocument/2006/relationships/hyperlink" Target="http://www.cdc.gov/nchs/nhanes/nhanes_questionnaires.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9" Type="http://schemas.openxmlformats.org/officeDocument/2006/relationships/font" Target="fonts/ArialBlack-regular.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