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268DB3" w:rsidP="35268DB3" w:rsidRDefault="35268DB3" w14:noSpellErr="1" w14:paraId="290115C5" w14:textId="529D2DAB">
      <w:pPr>
        <w:pStyle w:val="Ttulo1"/>
        <w:rPr>
          <w:rFonts w:ascii="Times New Roman" w:hAnsi="Times New Roman" w:eastAsia="Times New Roman" w:cs="Times New Roman"/>
          <w:b w:val="1"/>
          <w:bCs w:val="1"/>
          <w:color w:val="auto"/>
          <w:sz w:val="36"/>
          <w:szCs w:val="36"/>
        </w:rPr>
      </w:pPr>
      <w:r w:rsidRPr="35268DB3" w:rsidR="35268DB3">
        <w:rPr>
          <w:rFonts w:ascii="Times New Roman" w:hAnsi="Times New Roman" w:eastAsia="Times New Roman" w:cs="Times New Roman"/>
          <w:b w:val="1"/>
          <w:bCs w:val="1"/>
          <w:color w:val="auto"/>
          <w:sz w:val="36"/>
          <w:szCs w:val="36"/>
        </w:rPr>
        <w:t>Por que a nova regra do rotativo não é uma licença para gastar</w:t>
      </w:r>
    </w:p>
    <w:p w:rsidR="35268DB3" w:rsidP="35268DB3" w:rsidRDefault="35268DB3" w14:noSpellErr="1" w14:paraId="0550EA85" w14:textId="2FA8EE33">
      <w:pPr>
        <w:pStyle w:val="Ttulo2"/>
      </w:pPr>
      <w:r w:rsidRPr="35268DB3" w:rsidR="35268DB3">
        <w:rPr>
          <w:b w:val="0"/>
          <w:bCs w:val="0"/>
          <w:color w:val="333333"/>
          <w:sz w:val="24"/>
          <w:szCs w:val="24"/>
        </w:rPr>
        <w:t>Além de ainda enfrentar juros altos, o consumidor precisará ficar atento aos diferentes modelos de cobrança adotados pelos bancos</w:t>
      </w:r>
    </w:p>
    <w:p w:rsidR="35268DB3" w:rsidP="35268DB3" w:rsidRDefault="35268DB3" w14:noSpellErr="1" w14:paraId="2D3601B7" w14:textId="7F2A000E">
      <w:pPr>
        <w:spacing w:line="240" w:lineRule="exact"/>
      </w:pPr>
      <w:r w:rsidRPr="35268DB3" w:rsidR="35268DB3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Por </w:t>
      </w:r>
      <w:hyperlink r:id="R27ca7bc6fc6b4592">
        <w:r w:rsidRPr="35268DB3" w:rsidR="35268DB3">
          <w:rPr>
            <w:rStyle w:val="Hyperlink"/>
            <w:rFonts w:ascii="Calibri" w:hAnsi="Calibri" w:eastAsia="Calibri" w:cs="Calibri"/>
            <w:b w:val="1"/>
            <w:bCs w:val="1"/>
            <w:noProof w:val="0"/>
            <w:sz w:val="18"/>
            <w:szCs w:val="18"/>
            <w:lang w:val="pt-BR"/>
          </w:rPr>
          <w:t>Estadão Conteúdo</w:t>
        </w:r>
      </w:hyperlink>
    </w:p>
    <w:p w:rsidR="35268DB3" w:rsidP="35268DB3" w:rsidRDefault="35268DB3" w14:noSpellErr="1" w14:paraId="21283E9A" w14:textId="03307745">
      <w:pPr>
        <w:spacing w:line="240" w:lineRule="exact"/>
      </w:pPr>
      <w:r w:rsidRPr="35268DB3" w:rsidR="35268DB3">
        <w:rPr>
          <w:rFonts w:ascii="Calibri" w:hAnsi="Calibri" w:eastAsia="Calibri" w:cs="Calibri"/>
          <w:noProof w:val="0"/>
          <w:color w:val="626262"/>
          <w:sz w:val="16"/>
          <w:szCs w:val="16"/>
          <w:lang w:val="pt-BR"/>
        </w:rPr>
        <w:t xml:space="preserve">Atualizado em 3 </w:t>
      </w:r>
      <w:r w:rsidRPr="35268DB3" w:rsidR="35268DB3">
        <w:rPr>
          <w:rFonts w:ascii="Calibri" w:hAnsi="Calibri" w:eastAsia="Calibri" w:cs="Calibri"/>
          <w:noProof w:val="0"/>
          <w:color w:val="626262"/>
          <w:sz w:val="16"/>
          <w:szCs w:val="16"/>
          <w:lang w:val="pt-BR"/>
        </w:rPr>
        <w:t>abril</w:t>
      </w:r>
      <w:r w:rsidRPr="35268DB3" w:rsidR="35268DB3">
        <w:rPr>
          <w:rFonts w:ascii="Calibri" w:hAnsi="Calibri" w:eastAsia="Calibri" w:cs="Calibri"/>
          <w:noProof w:val="0"/>
          <w:color w:val="626262"/>
          <w:sz w:val="16"/>
          <w:szCs w:val="16"/>
          <w:lang w:val="pt-BR"/>
        </w:rPr>
        <w:t xml:space="preserve"> 2017, 14h19</w:t>
      </w:r>
    </w:p>
    <w:p w:rsidR="35268DB3" w:rsidP="35268DB3" w:rsidRDefault="35268DB3" w14:noSpellErr="1" w14:paraId="550244CA" w14:textId="4E4A5E99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pt-BR"/>
        </w:rPr>
        <w:t xml:space="preserve">São Paulo – Começa a valer nesta segunda-feira, 3, a nova regra do Conselho Monetário Nacional (CMN) que </w:t>
      </w:r>
      <w:hyperlink r:id="R6e3b2b293aeb483b">
        <w:r w:rsidRPr="35268DB3" w:rsidR="35268DB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8"/>
            <w:szCs w:val="28"/>
            <w:u w:val="none"/>
            <w:lang w:val="pt-BR"/>
          </w:rPr>
          <w:t xml:space="preserve">limita o uso do rotativo </w:t>
        </w:r>
      </w:hyperlink>
      <w:r w:rsidRPr="35268DB3" w:rsidR="35268DB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pt-BR"/>
        </w:rPr>
        <w:t xml:space="preserve">do </w:t>
      </w:r>
      <w:hyperlink r:id="Reb55d2c5ddae4725">
        <w:r w:rsidRPr="35268DB3" w:rsidR="35268DB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8"/>
            <w:szCs w:val="28"/>
            <w:u w:val="none"/>
            <w:lang w:val="pt-BR"/>
          </w:rPr>
          <w:t>cartão de crédito</w:t>
        </w:r>
      </w:hyperlink>
      <w:r w:rsidRPr="35268DB3" w:rsidR="35268DB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pt-BR"/>
        </w:rPr>
        <w:t xml:space="preserve"> após 30 dias.</w:t>
      </w:r>
    </w:p>
    <w:p w:rsidR="35268DB3" w:rsidP="35268DB3" w:rsidRDefault="35268DB3" w14:noSpellErr="1" w14:paraId="701F2271" w14:textId="0F153B39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pt-BR"/>
        </w:rPr>
        <w:t xml:space="preserve">A partir de agora, o consumidor que entrar nessa modalidade será migrado automaticamente pelo banco para uma </w:t>
      </w:r>
      <w:hyperlink r:id="Rb25cda204ec64857">
        <w:r w:rsidRPr="35268DB3" w:rsidR="35268DB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8"/>
            <w:szCs w:val="28"/>
            <w:u w:val="none"/>
            <w:lang w:val="pt-BR"/>
          </w:rPr>
          <w:t>linha de crédito pessoal</w:t>
        </w:r>
      </w:hyperlink>
      <w:r w:rsidRPr="35268DB3" w:rsidR="35268DB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pt-BR"/>
        </w:rPr>
        <w:t xml:space="preserve"> </w:t>
      </w:r>
      <w:r w:rsidRPr="35268DB3" w:rsidR="35268DB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pt-BR"/>
        </w:rPr>
        <w:t>(com juros menores) no próximo fechamento de sua fatura.</w:t>
      </w:r>
      <w:r w:rsidRPr="35268DB3" w:rsidR="35268DB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pt-BR"/>
        </w:rPr>
        <w:t xml:space="preserve"> </w:t>
      </w:r>
    </w:p>
    <w:p w:rsidR="35268DB3" w:rsidP="35268DB3" w:rsidRDefault="35268DB3" w14:noSpellErr="1" w14:paraId="03BC2E51" w14:textId="35952E7D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A medida faz parte de uma série de iniciativas do Banco Central para promover a redução dos juros do rotativo e do spread bancário. Pesquisa realizada pelo aplicativo de controle financeiro Guia Bolso revela que 37,8% dos usuários do aplicativo que pagaram juros mensais de ao menos R$ 5 no rotativo disseram acreditar que não estão endividados.</w:t>
      </w:r>
    </w:p>
    <w:p w:rsidR="35268DB3" w:rsidP="35268DB3" w:rsidRDefault="35268DB3" w14:noSpellErr="1" w14:paraId="24B80DD0" w14:textId="30DFA0E0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Isso mostra que o brasileiro faz pouca relação entre o uso do rotativo do cartão e o endividamento. O levantamento apresenta, também, que o consumidor desconhece o custo total dessa dívida.</w:t>
      </w:r>
    </w:p>
    <w:p w:rsidR="35268DB3" w:rsidP="35268DB3" w:rsidRDefault="35268DB3" w14:paraId="7C49474F" w14:textId="6CFC0AE8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Para especialistas, as mudanças contribuem para a redução da inadimplência de uma forma geral. De acordo com a mais recente Pesquisa de Endividamento e Inadimplência do Consumidor (</w:t>
      </w:r>
      <w:proofErr w:type="spellStart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Peic</w:t>
      </w:r>
      <w:proofErr w:type="spellEnd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), realizada pela Confederação Nacional da Indústria, e divulgada na semana passada, 76% das famílias com dívidas tinham o cartão de crédito como a principal modalidade de financiamento em março. E o número de famílias que não terão como pagar as dívidas e, portanto, permanecerão inadimplentes, chegou a 9,9%.</w:t>
      </w:r>
    </w:p>
    <w:p w:rsidR="35268DB3" w:rsidP="35268DB3" w:rsidRDefault="35268DB3" w14:paraId="1B416473" w14:textId="0D657ECE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Por isso, esse novo estímulo, que pode iniciar um processo de atenuar juros considerados “exorbitantes” não deve ser visto como um incentivo para os consumidores assumirem novas dívidas, explica Vinícius </w:t>
      </w:r>
      <w:proofErr w:type="spellStart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Brunassi</w:t>
      </w:r>
      <w:proofErr w:type="spellEnd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, coordenador do instituto de finanças da </w:t>
      </w:r>
      <w:proofErr w:type="spellStart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Fecap</w:t>
      </w:r>
      <w:proofErr w:type="spellEnd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.</w:t>
      </w:r>
    </w:p>
    <w:p w:rsidR="35268DB3" w:rsidP="35268DB3" w:rsidRDefault="35268DB3" w14:noSpellErr="1" w14:paraId="3E7D9596" w14:textId="38E3AA1E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“A estratégia de parcelamento de cartão continua sendo uma modalidade muito cara. Saímos de algo entre 500% ao ano para algo em torno de 150%, que ainda é assustador e pesado”, diz.</w:t>
      </w:r>
    </w:p>
    <w:p w:rsidR="35268DB3" w:rsidP="35268DB3" w:rsidRDefault="35268DB3" w14:noSpellErr="1" w14:paraId="0DC7485F" w14:textId="53D96C02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A partir de agora, o consumidor precisará estar atento aos diferentes modelos de cobrança adotados pelos bancos. Isso porque o CMN delimitou apenas linhas gerais da nova regra, o que abriu espaço para que cada instituição financeira estabelecesse seus próprios critérios para os pagamentos parcelados.</w:t>
      </w:r>
    </w:p>
    <w:p w:rsidR="35268DB3" w:rsidP="35268DB3" w:rsidRDefault="35268DB3" w14:noSpellErr="1" w14:paraId="2478BF8A" w14:textId="61D4A2F3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Outra mudança importante é que o valor mínimo das faturas vai crescer a partir de hoje. Nessa cobrança, será incluída uma parte ou todo o saldo do rotativo, dependendo do que cada banco estipular.</w:t>
      </w:r>
    </w:p>
    <w:p w:rsidR="35268DB3" w:rsidP="35268DB3" w:rsidRDefault="35268DB3" w14:paraId="481E55AC" w14:textId="324E01F0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proofErr w:type="spellStart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Brunassi</w:t>
      </w:r>
      <w:proofErr w:type="spellEnd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ressalta que o cartão de crédito nunca deve ser utilizado como complemento do orçamento, mesmo para aqueles consumidores de menor renda, para os quais o crédito pré-aprovado muitas vezes representa um importante meio de inclusão nos padrões de consumo.</w:t>
      </w:r>
    </w:p>
    <w:p w:rsidR="35268DB3" w:rsidP="35268DB3" w:rsidRDefault="35268DB3" w14:noSpellErr="1" w14:paraId="7C811BCD" w14:textId="451100FD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“As pessoas precisam trabalhar com alguma estratégia de planejamento financeiro pessoal, para sempre, na medida do possível, ter uma reserva de emergência. O crédito rotativo somente deve ser utilizado em situações de emergências”, orienta.</w:t>
      </w:r>
    </w:p>
    <w:p w:rsidR="35268DB3" w:rsidP="35268DB3" w:rsidRDefault="35268DB3" w14:noSpellErr="1" w14:paraId="2F847B33" w14:textId="73E06907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</w:p>
    <w:p w:rsidR="35268DB3" w:rsidP="35268DB3" w:rsidRDefault="35268DB3" w14:noSpellErr="1" w14:paraId="5AEED2BD" w14:textId="245FCF79">
      <w:pPr>
        <w:pStyle w:val="NoSpacing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Prioridade</w:t>
      </w:r>
    </w:p>
    <w:p w:rsidR="35268DB3" w:rsidP="35268DB3" w:rsidRDefault="35268DB3" w14:paraId="13CDFDFC" w14:textId="5209D19B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O economista da Boa Vista SCPC Flávio </w:t>
      </w:r>
      <w:proofErr w:type="spellStart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Calife</w:t>
      </w:r>
      <w:proofErr w:type="spellEnd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destaca que a demanda por crédito ao consumidor vem caindo nos últimos 12 meses porque as famílias estão passando por um processo de “</w:t>
      </w:r>
      <w:proofErr w:type="spellStart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desalavancagem</w:t>
      </w:r>
      <w:proofErr w:type="spellEnd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” das suas dívidas.</w:t>
      </w:r>
    </w:p>
    <w:p w:rsidR="35268DB3" w:rsidP="35268DB3" w:rsidRDefault="35268DB3" w14:noSpellErr="1" w14:paraId="01EB2A1D" w14:textId="717DE919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Mesmo com um menor poder aquisitivo, reflexo do alto desemprego gerado pela crise econômica, os consumidores estão aprendendo a lidar com o problema do efeito “bola de neve” da dívida do rotativo. E, assim que a renda mensal oferece um alívio, ela se torna prioridade de liquidação.</w:t>
      </w:r>
    </w:p>
    <w:p w:rsidR="35268DB3" w:rsidP="35268DB3" w:rsidRDefault="35268DB3" w14:paraId="1DD12FA3" w14:textId="1144C242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Além disso, na avaliação de </w:t>
      </w:r>
      <w:proofErr w:type="spellStart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Calife</w:t>
      </w:r>
      <w:proofErr w:type="spellEnd"/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, as pessoas pouco a pouco estão tomando crédito de forma mais consciente. “Há uma mudança de comportamento devido à crise. As pessoas estão mais cautelosas.”</w:t>
      </w:r>
    </w:p>
    <w:p w:rsidR="35268DB3" w:rsidP="35268DB3" w:rsidRDefault="35268DB3" w14:noSpellErr="1" w14:paraId="5035FED4" w14:textId="08664FA3">
      <w:pPr>
        <w:pStyle w:val="NoSpacing"/>
        <w:ind w:firstLine="85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Segundo o Perfil do Consumidor Inadimplente, do SCPC, o trauma de estar enrolado em uma dívida explosiva faz com que 82% das pessoas que já passaram pela experiência de ter seu nome negativado desistam de fazer novas compras a </w:t>
      </w: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prazo.</w:t>
      </w: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</w:t>
      </w: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As</w:t>
      </w:r>
      <w:r w:rsidRPr="35268DB3" w:rsidR="35268DB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informações são do jornal O Estado de S. Paulo.</w:t>
      </w:r>
    </w:p>
    <w:p w:rsidR="35268DB3" w:rsidP="35268DB3" w:rsidRDefault="35268DB3" w14:paraId="7FF1897F" w14:textId="073B00CD">
      <w:pPr>
        <w:pStyle w:val="NoSpacing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35268DB3" w:rsidP="7221707F" w:rsidRDefault="35268DB3" w14:paraId="6B551D71" w14:textId="39B9DBBF" w14:noSpellErr="1">
      <w:pPr>
        <w:pStyle w:val="NoSpacing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221707F" w:rsidR="7221707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Referência:</w:t>
      </w:r>
    </w:p>
    <w:p w:rsidR="35268DB3" w:rsidP="35268DB3" w:rsidRDefault="35268DB3" w14:paraId="395BEBFB" w14:noSpellErr="1" w14:textId="0C53C5AB">
      <w:pPr>
        <w:jc w:val="left"/>
      </w:pPr>
      <w:hyperlink r:id="Rfa9d3535ffef46e9">
        <w:r w:rsidRPr="7221707F" w:rsidR="7221707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pt-BR"/>
          </w:rPr>
          <w:t>http://exame.abril.com.br/seu-dinheiro/por-que-a-nova-regra-do-rotativo-nao-e-uma-licenca-para-gastar/</w:t>
        </w:r>
      </w:hyperlink>
      <w:r w:rsidRPr="7221707F" w:rsidR="7221707F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Acesso em 16 de abril de 2017.</w:t>
      </w:r>
    </w:p>
    <w:p w:rsidR="35268DB3" w:rsidP="35268DB3" w:rsidRDefault="35268DB3" w14:paraId="10E6658C" w14:textId="605F6DF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</w:p>
    <w:p w:rsidR="35268DB3" w:rsidP="7726D7AE" w:rsidRDefault="35268DB3" w14:paraId="77AC7EAA" w14:noSpellErr="1" w14:textId="00D5ECA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</w:pPr>
      <w:r w:rsidRPr="7726D7AE" w:rsidR="7726D7A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  <w:t>Pergunta:</w:t>
      </w:r>
    </w:p>
    <w:p w:rsidR="7726D7AE" w:rsidP="72AC542B" w:rsidRDefault="7726D7AE" w14:paraId="757C186C" w14:noSpellErr="1" w14:textId="2BAFEB4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72AC542B" w:rsidR="72AC542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Porque o Banco Central reduziu a taxa</w:t>
      </w:r>
      <w:r w:rsidRPr="72AC542B" w:rsidR="72AC542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? Para </w:t>
      </w:r>
      <w:r w:rsidRPr="72AC542B" w:rsidR="72AC542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o </w:t>
      </w:r>
      <w:r w:rsidRPr="72AC542B" w:rsidR="72AC542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que a mudança contribui</w:t>
      </w:r>
      <w:r w:rsidRPr="72AC542B" w:rsidR="72AC542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?  Porque </w:t>
      </w:r>
      <w:r w:rsidRPr="72AC542B" w:rsidR="72AC542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o consumidor deve ficar atento aos diferentes modelos de cobrança</w:t>
      </w:r>
      <w:r w:rsidRPr="72AC542B" w:rsidR="72AC542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?</w:t>
      </w:r>
    </w:p>
    <w:sectPr w:rsidRPr="0096210E" w:rsidR="00D57DBA">
      <w:pgSz w:w="11906" w:h="16838" w:orient="portrait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31"/>
    <w:rsid w:val="000C282A"/>
    <w:rsid w:val="001F2AE1"/>
    <w:rsid w:val="002F58E3"/>
    <w:rsid w:val="00414617"/>
    <w:rsid w:val="0073048D"/>
    <w:rsid w:val="007701C2"/>
    <w:rsid w:val="00833D26"/>
    <w:rsid w:val="0089443E"/>
    <w:rsid w:val="0096210E"/>
    <w:rsid w:val="00A30758"/>
    <w:rsid w:val="00C20331"/>
    <w:rsid w:val="00D57DBA"/>
    <w:rsid w:val="35268DB3"/>
    <w:rsid w:val="7221707F"/>
    <w:rsid w:val="72AC542B"/>
    <w:rsid w:val="7726D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0876-6FE0-42C6-979F-4C6A8D7924E5}"/>
  <w14:docId w14:val="177A4FF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10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10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6210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96210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96210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rsid w:val="0096210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7DB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exame.abril.com.br/autor/wpestadao" TargetMode="External" Id="R27ca7bc6fc6b4592" /><Relationship Type="http://schemas.openxmlformats.org/officeDocument/2006/relationships/hyperlink" Target="http://exame.abril.com.br/seu-dinheiro/nova-regra-do-rotativo-do-cartao-de-credito-comeca-a-valer-hoje/" TargetMode="External" Id="R6e3b2b293aeb483b" /><Relationship Type="http://schemas.openxmlformats.org/officeDocument/2006/relationships/hyperlink" Target="http://exame.abril.com.br/noticias-sobre/cartoes-de-credito/" TargetMode="External" Id="Reb55d2c5ddae4725" /><Relationship Type="http://schemas.openxmlformats.org/officeDocument/2006/relationships/hyperlink" Target="https://www.justonline.com.br/" TargetMode="External" Id="Rb25cda204ec64857" /><Relationship Type="http://schemas.openxmlformats.org/officeDocument/2006/relationships/numbering" Target="/word/numbering.xml" Id="R265dc561d6b24a67" /><Relationship Type="http://schemas.openxmlformats.org/officeDocument/2006/relationships/hyperlink" Target="http://exame.abril.com.br/seu-dinheiro/por-que-a-nova-regra-do-rotativo-nao-e-uma-licenca-para-gastar/" TargetMode="External" Id="Rfa9d3535ffef46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Fernanda Jordão</dc:creator>
  <keywords/>
  <dc:description/>
  <lastModifiedBy>Larissa Stochi Ujaque</lastModifiedBy>
  <revision>9</revision>
  <dcterms:created xsi:type="dcterms:W3CDTF">2017-04-02T15:00:00.0000000Z</dcterms:created>
  <dcterms:modified xsi:type="dcterms:W3CDTF">2017-04-19T04:34:25.2965700Z</dcterms:modified>
</coreProperties>
</file>