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A2" w:rsidRPr="008E4561" w:rsidRDefault="00C730A2" w:rsidP="00C730A2">
      <w:pPr>
        <w:jc w:val="center"/>
        <w:rPr>
          <w:rFonts w:asciiTheme="majorHAnsi" w:hAnsiTheme="majorHAnsi"/>
          <w:b/>
          <w:sz w:val="28"/>
          <w:szCs w:val="24"/>
          <w:lang w:val="pt-BR"/>
        </w:rPr>
      </w:pPr>
      <w:bookmarkStart w:id="0" w:name="_Hlk480971190"/>
      <w:r w:rsidRPr="008E4561">
        <w:rPr>
          <w:rFonts w:asciiTheme="majorHAnsi" w:hAnsiTheme="majorHAnsi"/>
          <w:b/>
          <w:sz w:val="28"/>
          <w:szCs w:val="24"/>
          <w:lang w:val="pt-BR"/>
        </w:rPr>
        <w:t>LISTA 5</w:t>
      </w:r>
    </w:p>
    <w:p w:rsidR="00C730A2" w:rsidRPr="008E4561" w:rsidRDefault="00C730A2" w:rsidP="00C730A2">
      <w:pPr>
        <w:jc w:val="both"/>
        <w:rPr>
          <w:rFonts w:asciiTheme="majorHAnsi" w:hAnsiTheme="majorHAnsi"/>
          <w:sz w:val="20"/>
          <w:szCs w:val="20"/>
          <w:lang w:val="pt-BR"/>
        </w:rPr>
      </w:pPr>
    </w:p>
    <w:p w:rsidR="00C730A2" w:rsidRPr="008E4561" w:rsidRDefault="00C730A2" w:rsidP="00C730A2">
      <w:pPr>
        <w:jc w:val="both"/>
        <w:rPr>
          <w:rFonts w:asciiTheme="majorHAnsi" w:hAnsiTheme="majorHAnsi"/>
          <w:b/>
          <w:sz w:val="26"/>
          <w:lang w:val="pt-BR"/>
        </w:rPr>
      </w:pPr>
      <w:r w:rsidRPr="008E4561">
        <w:rPr>
          <w:rFonts w:asciiTheme="majorHAnsi" w:hAnsiTheme="majorHAnsi"/>
          <w:b/>
          <w:sz w:val="26"/>
          <w:lang w:val="pt-BR"/>
        </w:rPr>
        <w:t xml:space="preserve">Exercício </w:t>
      </w:r>
      <w:proofErr w:type="gramStart"/>
      <w:r w:rsidRPr="008E4561">
        <w:rPr>
          <w:rFonts w:asciiTheme="majorHAnsi" w:hAnsiTheme="majorHAnsi"/>
          <w:b/>
          <w:sz w:val="26"/>
          <w:lang w:val="pt-BR"/>
        </w:rPr>
        <w:t>1</w:t>
      </w:r>
      <w:proofErr w:type="gramEnd"/>
    </w:p>
    <w:p w:rsidR="00C730A2" w:rsidRPr="008E4561" w:rsidRDefault="00C730A2" w:rsidP="00C730A2">
      <w:pPr>
        <w:jc w:val="both"/>
        <w:rPr>
          <w:rFonts w:asciiTheme="majorHAnsi" w:hAnsiTheme="majorHAnsi"/>
          <w:lang w:val="pt-BR"/>
        </w:rPr>
      </w:pPr>
      <w:r w:rsidRPr="008E4561">
        <w:rPr>
          <w:rFonts w:asciiTheme="majorHAnsi" w:hAnsiTheme="majorHAnsi"/>
          <w:lang w:val="pt-BR"/>
        </w:rPr>
        <w:t xml:space="preserve">Reconhecida no mercado pelo alto grau de conhecimento dos seus funcionários, a </w:t>
      </w:r>
      <w:proofErr w:type="spellStart"/>
      <w:r w:rsidRPr="008E4561">
        <w:rPr>
          <w:rFonts w:asciiTheme="majorHAnsi" w:hAnsiTheme="majorHAnsi"/>
          <w:lang w:val="pt-BR"/>
        </w:rPr>
        <w:t>Conoscenza</w:t>
      </w:r>
      <w:proofErr w:type="spellEnd"/>
      <w:r w:rsidRPr="008E4561">
        <w:rPr>
          <w:rFonts w:asciiTheme="majorHAnsi" w:hAnsiTheme="majorHAnsi"/>
          <w:lang w:val="pt-BR"/>
        </w:rPr>
        <w:t xml:space="preserve"> Auditoria investe pesadamente no treinamento do seu pessoal. A tabela abaixo apresenta os gastos realizados pela sua Universidade Corporativa nos últimos anos.</w:t>
      </w:r>
    </w:p>
    <w:p w:rsidR="00C730A2" w:rsidRPr="008E4561" w:rsidRDefault="00C730A2" w:rsidP="00C730A2">
      <w:pPr>
        <w:jc w:val="both"/>
        <w:rPr>
          <w:rFonts w:asciiTheme="majorHAnsi" w:hAnsiTheme="majorHAnsi"/>
          <w:lang w:val="pt-BR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819"/>
      </w:tblGrid>
      <w:tr w:rsidR="00C730A2" w:rsidRPr="003E006B" w:rsidTr="00E45CA5">
        <w:trPr>
          <w:jc w:val="center"/>
        </w:trPr>
        <w:tc>
          <w:tcPr>
            <w:tcW w:w="1985" w:type="dxa"/>
          </w:tcPr>
          <w:p w:rsidR="00C730A2" w:rsidRPr="00B4434A" w:rsidRDefault="00C730A2" w:rsidP="00E45CA5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B4434A">
              <w:rPr>
                <w:rFonts w:asciiTheme="majorHAnsi" w:hAnsiTheme="majorHAnsi"/>
                <w:b/>
              </w:rPr>
              <w:t>Ano</w:t>
            </w:r>
            <w:proofErr w:type="spellEnd"/>
          </w:p>
        </w:tc>
        <w:tc>
          <w:tcPr>
            <w:tcW w:w="4819" w:type="dxa"/>
          </w:tcPr>
          <w:p w:rsidR="00C730A2" w:rsidRPr="008E4561" w:rsidRDefault="00C730A2" w:rsidP="00E45CA5">
            <w:pPr>
              <w:jc w:val="center"/>
              <w:rPr>
                <w:rFonts w:asciiTheme="majorHAnsi" w:hAnsiTheme="majorHAnsi"/>
                <w:b/>
                <w:lang w:val="pt-BR"/>
              </w:rPr>
            </w:pPr>
            <w:r w:rsidRPr="008E4561">
              <w:rPr>
                <w:rFonts w:asciiTheme="majorHAnsi" w:hAnsiTheme="majorHAnsi"/>
                <w:b/>
                <w:lang w:val="pt-BR"/>
              </w:rPr>
              <w:t>Gastos com treinamento dos auditores</w:t>
            </w:r>
          </w:p>
        </w:tc>
      </w:tr>
      <w:tr w:rsidR="00C730A2" w:rsidTr="00E45CA5">
        <w:trPr>
          <w:jc w:val="center"/>
        </w:trPr>
        <w:tc>
          <w:tcPr>
            <w:tcW w:w="1985" w:type="dxa"/>
          </w:tcPr>
          <w:p w:rsidR="00C730A2" w:rsidRDefault="00C730A2" w:rsidP="00E45CA5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Corrente</w:t>
            </w:r>
            <w:proofErr w:type="spellEnd"/>
            <w:r>
              <w:rPr>
                <w:rFonts w:asciiTheme="majorHAnsi" w:hAnsiTheme="majorHAnsi"/>
              </w:rPr>
              <w:t xml:space="preserve">  (2017)</w:t>
            </w:r>
          </w:p>
        </w:tc>
        <w:tc>
          <w:tcPr>
            <w:tcW w:w="4819" w:type="dxa"/>
          </w:tcPr>
          <w:p w:rsidR="00C730A2" w:rsidRDefault="00C730A2" w:rsidP="00E45CA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19.620.000,00 </w:t>
            </w:r>
            <w:r w:rsidRPr="00531CB7">
              <w:rPr>
                <w:rFonts w:asciiTheme="majorHAnsi" w:hAnsiTheme="majorHAnsi"/>
                <w:sz w:val="20"/>
                <w:szCs w:val="20"/>
              </w:rPr>
              <w:t>(</w:t>
            </w:r>
            <w:proofErr w:type="spellStart"/>
            <w:r w:rsidRPr="00531CB7">
              <w:rPr>
                <w:rFonts w:asciiTheme="majorHAnsi" w:hAnsiTheme="majorHAnsi"/>
                <w:sz w:val="20"/>
                <w:szCs w:val="20"/>
              </w:rPr>
              <w:t>ainda</w:t>
            </w:r>
            <w:proofErr w:type="spellEnd"/>
            <w:r w:rsidRPr="00531CB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31CB7">
              <w:rPr>
                <w:rFonts w:asciiTheme="majorHAnsi" w:hAnsiTheme="majorHAnsi"/>
                <w:sz w:val="20"/>
                <w:szCs w:val="20"/>
              </w:rPr>
              <w:t>não</w:t>
            </w:r>
            <w:proofErr w:type="spellEnd"/>
            <w:r w:rsidRPr="00531CB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31CB7">
              <w:rPr>
                <w:rFonts w:asciiTheme="majorHAnsi" w:hAnsiTheme="majorHAnsi"/>
                <w:sz w:val="20"/>
                <w:szCs w:val="20"/>
              </w:rPr>
              <w:t>encerrado</w:t>
            </w:r>
            <w:proofErr w:type="spellEnd"/>
            <w:r w:rsidRPr="00531CB7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  <w:tr w:rsidR="00C730A2" w:rsidTr="00E45CA5">
        <w:trPr>
          <w:jc w:val="center"/>
        </w:trPr>
        <w:tc>
          <w:tcPr>
            <w:tcW w:w="1985" w:type="dxa"/>
          </w:tcPr>
          <w:p w:rsidR="00C730A2" w:rsidRDefault="00C730A2" w:rsidP="00E45CA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-1   (2016)</w:t>
            </w:r>
          </w:p>
        </w:tc>
        <w:tc>
          <w:tcPr>
            <w:tcW w:w="4819" w:type="dxa"/>
          </w:tcPr>
          <w:p w:rsidR="00C730A2" w:rsidRDefault="00C730A2" w:rsidP="00E45C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17.461.800,00</w:t>
            </w:r>
          </w:p>
        </w:tc>
      </w:tr>
      <w:tr w:rsidR="00C730A2" w:rsidTr="00E45CA5">
        <w:trPr>
          <w:jc w:val="center"/>
        </w:trPr>
        <w:tc>
          <w:tcPr>
            <w:tcW w:w="1985" w:type="dxa"/>
          </w:tcPr>
          <w:p w:rsidR="00C730A2" w:rsidRDefault="00C730A2" w:rsidP="00E45CA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-2   (2015)</w:t>
            </w:r>
          </w:p>
        </w:tc>
        <w:tc>
          <w:tcPr>
            <w:tcW w:w="4819" w:type="dxa"/>
          </w:tcPr>
          <w:p w:rsidR="00C730A2" w:rsidRDefault="00C730A2" w:rsidP="00E45C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15.360.300,00</w:t>
            </w:r>
          </w:p>
        </w:tc>
      </w:tr>
      <w:tr w:rsidR="00C730A2" w:rsidTr="00E45CA5">
        <w:trPr>
          <w:jc w:val="center"/>
        </w:trPr>
        <w:tc>
          <w:tcPr>
            <w:tcW w:w="1985" w:type="dxa"/>
          </w:tcPr>
          <w:p w:rsidR="00C730A2" w:rsidRDefault="00C730A2" w:rsidP="00E45CA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-3   (2014) </w:t>
            </w:r>
          </w:p>
        </w:tc>
        <w:tc>
          <w:tcPr>
            <w:tcW w:w="4819" w:type="dxa"/>
          </w:tcPr>
          <w:p w:rsidR="00C730A2" w:rsidRDefault="00C730A2" w:rsidP="00E45C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13.457.800,00</w:t>
            </w:r>
          </w:p>
        </w:tc>
      </w:tr>
      <w:tr w:rsidR="00C730A2" w:rsidTr="00E45CA5">
        <w:trPr>
          <w:jc w:val="center"/>
        </w:trPr>
        <w:tc>
          <w:tcPr>
            <w:tcW w:w="1985" w:type="dxa"/>
          </w:tcPr>
          <w:p w:rsidR="00C730A2" w:rsidRDefault="00C730A2" w:rsidP="00E45CA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-4   (2013)</w:t>
            </w:r>
          </w:p>
        </w:tc>
        <w:tc>
          <w:tcPr>
            <w:tcW w:w="4819" w:type="dxa"/>
          </w:tcPr>
          <w:p w:rsidR="00C730A2" w:rsidRDefault="00C730A2" w:rsidP="00E45C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11.550.000,00</w:t>
            </w:r>
          </w:p>
        </w:tc>
      </w:tr>
      <w:tr w:rsidR="00C730A2" w:rsidTr="00E45CA5">
        <w:trPr>
          <w:jc w:val="center"/>
        </w:trPr>
        <w:tc>
          <w:tcPr>
            <w:tcW w:w="1985" w:type="dxa"/>
          </w:tcPr>
          <w:p w:rsidR="00C730A2" w:rsidRDefault="00C730A2" w:rsidP="00E45CA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-5   (2012)</w:t>
            </w:r>
          </w:p>
        </w:tc>
        <w:tc>
          <w:tcPr>
            <w:tcW w:w="4819" w:type="dxa"/>
          </w:tcPr>
          <w:p w:rsidR="00C730A2" w:rsidRDefault="00C730A2" w:rsidP="00E45C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10.643.000,00</w:t>
            </w:r>
          </w:p>
        </w:tc>
      </w:tr>
      <w:tr w:rsidR="00C730A2" w:rsidTr="00E45CA5">
        <w:trPr>
          <w:jc w:val="center"/>
        </w:trPr>
        <w:tc>
          <w:tcPr>
            <w:tcW w:w="1985" w:type="dxa"/>
          </w:tcPr>
          <w:p w:rsidR="00C730A2" w:rsidRPr="008E4561" w:rsidRDefault="00C730A2" w:rsidP="00E45C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</w:t>
            </w:r>
            <w:r w:rsidRPr="008E4561">
              <w:rPr>
                <w:rFonts w:asciiTheme="majorHAnsi" w:hAnsiTheme="majorHAnsi"/>
              </w:rPr>
              <w:t>- 6 (2011)</w:t>
            </w:r>
          </w:p>
        </w:tc>
        <w:tc>
          <w:tcPr>
            <w:tcW w:w="4819" w:type="dxa"/>
          </w:tcPr>
          <w:p w:rsidR="00C730A2" w:rsidRDefault="00C730A2" w:rsidP="00E45C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9.650.280,00</w:t>
            </w:r>
          </w:p>
        </w:tc>
      </w:tr>
    </w:tbl>
    <w:p w:rsidR="00C730A2" w:rsidRDefault="00C730A2" w:rsidP="00C730A2">
      <w:pPr>
        <w:jc w:val="both"/>
        <w:rPr>
          <w:rFonts w:asciiTheme="majorHAnsi" w:hAnsiTheme="majorHAnsi"/>
        </w:rPr>
      </w:pPr>
    </w:p>
    <w:p w:rsidR="00C730A2" w:rsidRPr="008E4561" w:rsidRDefault="00C730A2" w:rsidP="00C730A2">
      <w:pPr>
        <w:jc w:val="both"/>
        <w:rPr>
          <w:rFonts w:asciiTheme="majorHAnsi" w:hAnsiTheme="majorHAnsi"/>
          <w:lang w:val="pt-BR"/>
        </w:rPr>
      </w:pPr>
      <w:r w:rsidRPr="008E4561">
        <w:rPr>
          <w:rFonts w:asciiTheme="majorHAnsi" w:hAnsiTheme="majorHAnsi"/>
          <w:lang w:val="pt-BR"/>
        </w:rPr>
        <w:t xml:space="preserve">Por força de regulamentação contábil, a empresa não pode ativar os gastos com treinamento de pessoal. No entanto, sabe-se que o </w:t>
      </w:r>
      <w:r w:rsidRPr="008E4561">
        <w:rPr>
          <w:rFonts w:asciiTheme="majorHAnsi" w:hAnsiTheme="majorHAnsi"/>
          <w:i/>
          <w:lang w:val="pt-BR"/>
        </w:rPr>
        <w:t>know-how</w:t>
      </w:r>
      <w:r w:rsidRPr="008E4561">
        <w:rPr>
          <w:rFonts w:asciiTheme="majorHAnsi" w:hAnsiTheme="majorHAnsi"/>
          <w:lang w:val="pt-BR"/>
        </w:rPr>
        <w:t xml:space="preserve"> dos funcionários é o principal ativo da empresa. Você precisa avaliar a </w:t>
      </w:r>
      <w:proofErr w:type="spellStart"/>
      <w:r w:rsidRPr="008E4561">
        <w:rPr>
          <w:rFonts w:asciiTheme="majorHAnsi" w:hAnsiTheme="majorHAnsi"/>
          <w:lang w:val="pt-BR"/>
        </w:rPr>
        <w:t>Conoscenza</w:t>
      </w:r>
      <w:proofErr w:type="spellEnd"/>
      <w:r w:rsidRPr="008E4561">
        <w:rPr>
          <w:rFonts w:asciiTheme="majorHAnsi" w:hAnsiTheme="majorHAnsi"/>
          <w:lang w:val="pt-BR"/>
        </w:rPr>
        <w:t xml:space="preserve"> Auditoria e, por isso, precisa realizar alguns ajustes contábeis com o objetivo de realizar o trabalho de </w:t>
      </w:r>
      <w:proofErr w:type="spellStart"/>
      <w:r w:rsidRPr="008E4561">
        <w:rPr>
          <w:rFonts w:asciiTheme="majorHAnsi" w:hAnsiTheme="majorHAnsi"/>
          <w:i/>
          <w:lang w:val="pt-BR"/>
        </w:rPr>
        <w:t>valuation</w:t>
      </w:r>
      <w:proofErr w:type="spellEnd"/>
      <w:r w:rsidRPr="008E4561">
        <w:rPr>
          <w:rFonts w:asciiTheme="majorHAnsi" w:hAnsiTheme="majorHAnsi"/>
          <w:lang w:val="pt-BR"/>
        </w:rPr>
        <w:t xml:space="preserve">. Por ser uma atividade muito cansativa e estressante, a rotatividade média dos funcionários da empresa é de </w:t>
      </w:r>
      <w:proofErr w:type="gramStart"/>
      <w:r w:rsidRPr="008E4561">
        <w:rPr>
          <w:rFonts w:asciiTheme="majorHAnsi" w:hAnsiTheme="majorHAnsi"/>
          <w:lang w:val="pt-BR"/>
        </w:rPr>
        <w:t>5</w:t>
      </w:r>
      <w:proofErr w:type="gramEnd"/>
      <w:r w:rsidRPr="008E4561">
        <w:rPr>
          <w:rFonts w:asciiTheme="majorHAnsi" w:hAnsiTheme="majorHAnsi"/>
          <w:lang w:val="pt-BR"/>
        </w:rPr>
        <w:t xml:space="preserve"> anos. Assim, todos os gastos com treinamento da equipe de auditores devem ser amortizados em </w:t>
      </w:r>
      <w:proofErr w:type="gramStart"/>
      <w:r w:rsidRPr="008E4561">
        <w:rPr>
          <w:rFonts w:asciiTheme="majorHAnsi" w:hAnsiTheme="majorHAnsi"/>
          <w:lang w:val="pt-BR"/>
        </w:rPr>
        <w:t>5</w:t>
      </w:r>
      <w:proofErr w:type="gramEnd"/>
      <w:r w:rsidRPr="008E4561">
        <w:rPr>
          <w:rFonts w:asciiTheme="majorHAnsi" w:hAnsiTheme="majorHAnsi"/>
          <w:lang w:val="pt-BR"/>
        </w:rPr>
        <w:t xml:space="preserve"> anos pelo método da linha reta (linear). O Balanço Patrimonial encerrado no último exercício social (31.12.2016) apresentou um Ativo total de $ 35.680.000,00, Patrimônio Líquido de $ 30.000.000,00, Lucro Operacional de $ 85.350.000,00 e Lucro Líquido de $ 48.462.000,00. </w:t>
      </w:r>
    </w:p>
    <w:p w:rsidR="00C730A2" w:rsidRPr="008E4561" w:rsidRDefault="00C730A2" w:rsidP="00C730A2">
      <w:pPr>
        <w:jc w:val="both"/>
        <w:rPr>
          <w:rFonts w:asciiTheme="majorHAnsi" w:hAnsiTheme="majorHAnsi"/>
          <w:lang w:val="pt-BR"/>
        </w:rPr>
      </w:pPr>
      <w:r w:rsidRPr="008E4561">
        <w:rPr>
          <w:rFonts w:asciiTheme="majorHAnsi" w:hAnsiTheme="majorHAnsi"/>
          <w:lang w:val="pt-BR"/>
        </w:rPr>
        <w:t>Após realizar todos os ajustes e reversões, determine:</w:t>
      </w:r>
    </w:p>
    <w:p w:rsidR="00C730A2" w:rsidRPr="008E4561" w:rsidRDefault="00C730A2" w:rsidP="00C730A2">
      <w:pPr>
        <w:pStyle w:val="PargrafodaLista"/>
        <w:numPr>
          <w:ilvl w:val="0"/>
          <w:numId w:val="2"/>
        </w:numPr>
        <w:jc w:val="both"/>
        <w:rPr>
          <w:rFonts w:asciiTheme="majorHAnsi" w:hAnsiTheme="majorHAnsi"/>
          <w:lang w:val="pt-BR"/>
        </w:rPr>
      </w:pPr>
      <w:r w:rsidRPr="008E4561">
        <w:rPr>
          <w:rFonts w:asciiTheme="majorHAnsi" w:hAnsiTheme="majorHAnsi"/>
          <w:lang w:val="pt-BR"/>
        </w:rPr>
        <w:t>O valor do ativo intangível da empresa (</w:t>
      </w:r>
      <w:r w:rsidRPr="008E4561">
        <w:rPr>
          <w:rFonts w:asciiTheme="majorHAnsi" w:hAnsiTheme="majorHAnsi"/>
          <w:i/>
          <w:lang w:val="pt-BR"/>
        </w:rPr>
        <w:t>know-how</w:t>
      </w:r>
      <w:r w:rsidRPr="008E4561">
        <w:rPr>
          <w:rFonts w:asciiTheme="majorHAnsi" w:hAnsiTheme="majorHAnsi"/>
          <w:lang w:val="pt-BR"/>
        </w:rPr>
        <w:t xml:space="preserve"> dos funcionários) não reconhecido pela contabilidade no ano corrente (2017).</w:t>
      </w:r>
    </w:p>
    <w:p w:rsidR="00C730A2" w:rsidRPr="008E4561" w:rsidRDefault="00C730A2" w:rsidP="00C730A2">
      <w:pPr>
        <w:pStyle w:val="PargrafodaLista"/>
        <w:numPr>
          <w:ilvl w:val="0"/>
          <w:numId w:val="2"/>
        </w:numPr>
        <w:jc w:val="both"/>
        <w:rPr>
          <w:rFonts w:asciiTheme="majorHAnsi" w:hAnsiTheme="majorHAnsi"/>
          <w:lang w:val="pt-BR"/>
        </w:rPr>
      </w:pPr>
      <w:r w:rsidRPr="008E4561">
        <w:rPr>
          <w:rFonts w:asciiTheme="majorHAnsi" w:hAnsiTheme="majorHAnsi"/>
          <w:lang w:val="pt-BR"/>
        </w:rPr>
        <w:t>A despesa de amortização de ativo intangível do ano corrente (2017).</w:t>
      </w:r>
    </w:p>
    <w:p w:rsidR="00C730A2" w:rsidRPr="008E4561" w:rsidRDefault="00C730A2" w:rsidP="00C730A2">
      <w:pPr>
        <w:pStyle w:val="PargrafodaLista"/>
        <w:numPr>
          <w:ilvl w:val="0"/>
          <w:numId w:val="2"/>
        </w:numPr>
        <w:jc w:val="both"/>
        <w:rPr>
          <w:rFonts w:asciiTheme="majorHAnsi" w:hAnsiTheme="majorHAnsi"/>
          <w:lang w:val="pt-BR"/>
        </w:rPr>
      </w:pPr>
      <w:r w:rsidRPr="008E4561">
        <w:rPr>
          <w:rFonts w:asciiTheme="majorHAnsi" w:hAnsiTheme="majorHAnsi"/>
          <w:lang w:val="pt-BR"/>
        </w:rPr>
        <w:t>O lucro operacional ajustado do último exercício social encerrado (2016).</w:t>
      </w:r>
    </w:p>
    <w:p w:rsidR="00C730A2" w:rsidRPr="008E4561" w:rsidRDefault="00C730A2" w:rsidP="00C730A2">
      <w:pPr>
        <w:pStyle w:val="PargrafodaLista"/>
        <w:numPr>
          <w:ilvl w:val="0"/>
          <w:numId w:val="2"/>
        </w:numPr>
        <w:jc w:val="both"/>
        <w:rPr>
          <w:rFonts w:asciiTheme="majorHAnsi" w:hAnsiTheme="majorHAnsi"/>
          <w:lang w:val="pt-BR"/>
        </w:rPr>
      </w:pPr>
      <w:r w:rsidRPr="008E4561">
        <w:rPr>
          <w:rFonts w:asciiTheme="majorHAnsi" w:hAnsiTheme="majorHAnsi"/>
          <w:lang w:val="pt-BR"/>
        </w:rPr>
        <w:t>O lucro líquido ajustado do último exercício social encerrado (2016).</w:t>
      </w:r>
    </w:p>
    <w:p w:rsidR="00C730A2" w:rsidRPr="008E4561" w:rsidRDefault="00C730A2" w:rsidP="00C730A2">
      <w:pPr>
        <w:pStyle w:val="PargrafodaLista"/>
        <w:numPr>
          <w:ilvl w:val="0"/>
          <w:numId w:val="2"/>
        </w:numPr>
        <w:jc w:val="both"/>
        <w:rPr>
          <w:rFonts w:asciiTheme="majorHAnsi" w:hAnsiTheme="majorHAnsi"/>
          <w:lang w:val="pt-BR"/>
        </w:rPr>
      </w:pPr>
      <w:r w:rsidRPr="008E4561">
        <w:rPr>
          <w:rFonts w:asciiTheme="majorHAnsi" w:hAnsiTheme="majorHAnsi"/>
          <w:lang w:val="pt-BR"/>
        </w:rPr>
        <w:t>O retorno sobre o patrimônio líquido (RSPL) do último exercício social encerrado (2016) não ajustado.</w:t>
      </w:r>
    </w:p>
    <w:p w:rsidR="00C730A2" w:rsidRPr="008E4561" w:rsidRDefault="00C730A2" w:rsidP="00C730A2">
      <w:pPr>
        <w:pStyle w:val="PargrafodaLista"/>
        <w:numPr>
          <w:ilvl w:val="0"/>
          <w:numId w:val="2"/>
        </w:numPr>
        <w:jc w:val="both"/>
        <w:rPr>
          <w:rFonts w:asciiTheme="majorHAnsi" w:hAnsiTheme="majorHAnsi"/>
          <w:lang w:val="pt-BR"/>
        </w:rPr>
      </w:pPr>
      <w:r w:rsidRPr="008E4561">
        <w:rPr>
          <w:rFonts w:asciiTheme="majorHAnsi" w:hAnsiTheme="majorHAnsi"/>
          <w:lang w:val="pt-BR"/>
        </w:rPr>
        <w:t>O retorno sobre o patrimônio líquido (RSPL) do último exercício social encerrado (2016) ajustado.</w:t>
      </w:r>
    </w:p>
    <w:bookmarkEnd w:id="0"/>
    <w:p w:rsidR="008840C8" w:rsidRPr="00C730A2" w:rsidRDefault="008840C8" w:rsidP="008840C8">
      <w:pPr>
        <w:jc w:val="both"/>
        <w:rPr>
          <w:rFonts w:asciiTheme="majorHAnsi" w:hAnsiTheme="majorHAnsi"/>
          <w:b/>
          <w:sz w:val="26"/>
          <w:lang w:val="pt-BR"/>
        </w:rPr>
      </w:pPr>
      <w:r w:rsidRPr="00C730A2">
        <w:rPr>
          <w:rFonts w:asciiTheme="majorHAnsi" w:hAnsiTheme="majorHAnsi"/>
          <w:b/>
          <w:sz w:val="26"/>
          <w:lang w:val="pt-BR"/>
        </w:rPr>
        <w:br w:type="page"/>
      </w:r>
    </w:p>
    <w:p w:rsidR="00C3516F" w:rsidRPr="00C730A2" w:rsidRDefault="00C27BB5" w:rsidP="009566E3">
      <w:pPr>
        <w:jc w:val="both"/>
        <w:rPr>
          <w:rFonts w:asciiTheme="majorHAnsi" w:hAnsiTheme="majorHAnsi"/>
          <w:b/>
          <w:sz w:val="26"/>
          <w:lang w:val="pt-BR"/>
        </w:rPr>
      </w:pPr>
      <w:r w:rsidRPr="00C730A2">
        <w:rPr>
          <w:rFonts w:asciiTheme="majorHAnsi" w:hAnsiTheme="majorHAnsi"/>
          <w:b/>
          <w:sz w:val="26"/>
          <w:lang w:val="pt-BR"/>
        </w:rPr>
        <w:lastRenderedPageBreak/>
        <w:t xml:space="preserve">Exercício </w:t>
      </w:r>
      <w:proofErr w:type="gramStart"/>
      <w:r w:rsidR="008840C8" w:rsidRPr="00C730A2">
        <w:rPr>
          <w:rFonts w:asciiTheme="majorHAnsi" w:hAnsiTheme="majorHAnsi"/>
          <w:b/>
          <w:sz w:val="26"/>
          <w:lang w:val="pt-BR"/>
        </w:rPr>
        <w:t>2</w:t>
      </w:r>
      <w:bookmarkStart w:id="1" w:name="_GoBack"/>
      <w:bookmarkEnd w:id="1"/>
      <w:proofErr w:type="gramEnd"/>
    </w:p>
    <w:p w:rsidR="0024332E" w:rsidRPr="00C730A2" w:rsidRDefault="00301FF7" w:rsidP="009566E3">
      <w:pPr>
        <w:jc w:val="both"/>
        <w:rPr>
          <w:rFonts w:asciiTheme="majorHAnsi" w:hAnsiTheme="majorHAnsi"/>
          <w:lang w:val="pt-BR"/>
        </w:rPr>
      </w:pPr>
      <w:r w:rsidRPr="00C730A2">
        <w:rPr>
          <w:rFonts w:asciiTheme="majorHAnsi" w:hAnsiTheme="majorHAnsi"/>
          <w:lang w:val="pt-BR"/>
        </w:rPr>
        <w:t xml:space="preserve">Por estratégia financeira, </w:t>
      </w:r>
      <w:r w:rsidR="00A52BEF" w:rsidRPr="00C730A2">
        <w:rPr>
          <w:rFonts w:asciiTheme="majorHAnsi" w:hAnsiTheme="majorHAnsi"/>
          <w:lang w:val="pt-BR"/>
        </w:rPr>
        <w:t xml:space="preserve">uma grande Usina de Açúcar e Álcool do </w:t>
      </w:r>
      <w:r w:rsidR="00ED73EA" w:rsidRPr="00C730A2">
        <w:rPr>
          <w:rFonts w:asciiTheme="majorHAnsi" w:hAnsiTheme="majorHAnsi"/>
          <w:lang w:val="pt-BR"/>
        </w:rPr>
        <w:t xml:space="preserve">interior do </w:t>
      </w:r>
      <w:r w:rsidR="00A52BEF" w:rsidRPr="00C730A2">
        <w:rPr>
          <w:rFonts w:asciiTheme="majorHAnsi" w:hAnsiTheme="majorHAnsi"/>
          <w:lang w:val="pt-BR"/>
        </w:rPr>
        <w:t>Brasil aluga as camionetes usadas pelos seus engenheiros agrônomos nas suas visitas às lavouras</w:t>
      </w:r>
      <w:r w:rsidR="00ED73EA" w:rsidRPr="00C730A2">
        <w:rPr>
          <w:rFonts w:asciiTheme="majorHAnsi" w:hAnsiTheme="majorHAnsi"/>
          <w:lang w:val="pt-BR"/>
        </w:rPr>
        <w:t>, assim como</w:t>
      </w:r>
      <w:r w:rsidR="00A52BEF" w:rsidRPr="00C730A2">
        <w:rPr>
          <w:rFonts w:asciiTheme="majorHAnsi" w:hAnsiTheme="majorHAnsi"/>
          <w:lang w:val="pt-BR"/>
        </w:rPr>
        <w:t xml:space="preserve"> todos os outros veículos usados pelos seus funcionários. </w:t>
      </w:r>
      <w:r w:rsidR="00AD4108" w:rsidRPr="00C730A2">
        <w:rPr>
          <w:rFonts w:asciiTheme="majorHAnsi" w:hAnsiTheme="majorHAnsi"/>
          <w:lang w:val="pt-BR"/>
        </w:rPr>
        <w:t>No Balanço encerrado em 2016</w:t>
      </w:r>
      <w:r w:rsidR="00A52BEF" w:rsidRPr="00C730A2">
        <w:rPr>
          <w:rFonts w:asciiTheme="majorHAnsi" w:hAnsiTheme="majorHAnsi"/>
          <w:lang w:val="pt-BR"/>
        </w:rPr>
        <w:t xml:space="preserve">, essa Usina apresentou uma despesa de </w:t>
      </w:r>
      <w:r w:rsidR="00A52BEF" w:rsidRPr="00C730A2">
        <w:rPr>
          <w:rFonts w:asciiTheme="majorHAnsi" w:hAnsiTheme="majorHAnsi"/>
          <w:i/>
          <w:lang w:val="pt-BR"/>
        </w:rPr>
        <w:t>leasing</w:t>
      </w:r>
      <w:r w:rsidR="00A52BEF" w:rsidRPr="00C730A2">
        <w:rPr>
          <w:rFonts w:asciiTheme="majorHAnsi" w:hAnsiTheme="majorHAnsi"/>
          <w:lang w:val="pt-BR"/>
        </w:rPr>
        <w:t xml:space="preserve"> operacional no valor </w:t>
      </w:r>
      <w:r w:rsidRPr="00C730A2">
        <w:rPr>
          <w:rFonts w:asciiTheme="majorHAnsi" w:hAnsiTheme="majorHAnsi"/>
          <w:lang w:val="pt-BR"/>
        </w:rPr>
        <w:t xml:space="preserve">de R$ </w:t>
      </w:r>
      <w:r w:rsidR="00A52BEF" w:rsidRPr="00C730A2">
        <w:rPr>
          <w:rFonts w:asciiTheme="majorHAnsi" w:hAnsiTheme="majorHAnsi"/>
          <w:lang w:val="pt-BR"/>
        </w:rPr>
        <w:t>3.527.640,00</w:t>
      </w:r>
      <w:r w:rsidR="0024332E" w:rsidRPr="00C730A2">
        <w:rPr>
          <w:rFonts w:asciiTheme="majorHAnsi" w:hAnsiTheme="majorHAnsi"/>
          <w:lang w:val="pt-BR"/>
        </w:rPr>
        <w:t xml:space="preserve"> e um lucro operacional de R$ 25.497.620,00</w:t>
      </w:r>
      <w:r w:rsidRPr="00C730A2">
        <w:rPr>
          <w:rFonts w:asciiTheme="majorHAnsi" w:hAnsiTheme="majorHAnsi"/>
          <w:lang w:val="pt-BR"/>
        </w:rPr>
        <w:t xml:space="preserve">. </w:t>
      </w:r>
      <w:r w:rsidR="004D0866" w:rsidRPr="00C730A2">
        <w:rPr>
          <w:rFonts w:asciiTheme="majorHAnsi" w:hAnsiTheme="majorHAnsi"/>
          <w:lang w:val="pt-BR"/>
        </w:rPr>
        <w:t xml:space="preserve">No início do ano corrente, a Usina renovou os contratos de </w:t>
      </w:r>
      <w:r w:rsidR="004D0866" w:rsidRPr="00C730A2">
        <w:rPr>
          <w:rFonts w:asciiTheme="majorHAnsi" w:hAnsiTheme="majorHAnsi"/>
          <w:i/>
          <w:lang w:val="pt-BR"/>
        </w:rPr>
        <w:t>leasing</w:t>
      </w:r>
      <w:r w:rsidR="004D0866" w:rsidRPr="00C730A2">
        <w:rPr>
          <w:rFonts w:asciiTheme="majorHAnsi" w:hAnsiTheme="majorHAnsi"/>
          <w:lang w:val="pt-BR"/>
        </w:rPr>
        <w:t xml:space="preserve"> operacional </w:t>
      </w:r>
      <w:r w:rsidR="00A52BEF" w:rsidRPr="00C730A2">
        <w:rPr>
          <w:rFonts w:asciiTheme="majorHAnsi" w:hAnsiTheme="majorHAnsi"/>
          <w:lang w:val="pt-BR"/>
        </w:rPr>
        <w:t xml:space="preserve">de </w:t>
      </w:r>
      <w:r w:rsidR="00925739" w:rsidRPr="00C730A2">
        <w:rPr>
          <w:rFonts w:asciiTheme="majorHAnsi" w:hAnsiTheme="majorHAnsi"/>
          <w:lang w:val="pt-BR"/>
        </w:rPr>
        <w:t xml:space="preserve">todos os seus </w:t>
      </w:r>
      <w:r w:rsidR="00A52BEF" w:rsidRPr="00C730A2">
        <w:rPr>
          <w:rFonts w:asciiTheme="majorHAnsi" w:hAnsiTheme="majorHAnsi"/>
          <w:lang w:val="pt-BR"/>
        </w:rPr>
        <w:t>veículos</w:t>
      </w:r>
      <w:r w:rsidR="004D0866" w:rsidRPr="00C730A2">
        <w:rPr>
          <w:rFonts w:asciiTheme="majorHAnsi" w:hAnsiTheme="majorHAnsi"/>
          <w:lang w:val="pt-BR"/>
        </w:rPr>
        <w:t xml:space="preserve"> com </w:t>
      </w:r>
      <w:r w:rsidR="00ED73EA" w:rsidRPr="00C730A2">
        <w:rPr>
          <w:rFonts w:asciiTheme="majorHAnsi" w:hAnsiTheme="majorHAnsi"/>
          <w:lang w:val="pt-BR"/>
        </w:rPr>
        <w:t>uma instituição financeira</w:t>
      </w:r>
      <w:r w:rsidR="00A52BEF" w:rsidRPr="00C730A2">
        <w:rPr>
          <w:rFonts w:asciiTheme="majorHAnsi" w:hAnsiTheme="majorHAnsi"/>
          <w:lang w:val="pt-BR"/>
        </w:rPr>
        <w:t xml:space="preserve"> para o</w:t>
      </w:r>
      <w:r w:rsidRPr="00C730A2">
        <w:rPr>
          <w:rFonts w:asciiTheme="majorHAnsi" w:hAnsiTheme="majorHAnsi"/>
          <w:lang w:val="pt-BR"/>
        </w:rPr>
        <w:t xml:space="preserve">s próximos </w:t>
      </w:r>
      <w:proofErr w:type="gramStart"/>
      <w:r w:rsidR="00925739" w:rsidRPr="00C730A2">
        <w:rPr>
          <w:rFonts w:asciiTheme="majorHAnsi" w:hAnsiTheme="majorHAnsi"/>
          <w:lang w:val="pt-BR"/>
        </w:rPr>
        <w:t>5</w:t>
      </w:r>
      <w:proofErr w:type="gramEnd"/>
      <w:r w:rsidR="00925739" w:rsidRPr="00C730A2">
        <w:rPr>
          <w:rFonts w:asciiTheme="majorHAnsi" w:hAnsiTheme="majorHAnsi"/>
          <w:lang w:val="pt-BR"/>
        </w:rPr>
        <w:t xml:space="preserve"> anos, com as contraprestações anuais apresentadas na </w:t>
      </w:r>
      <w:proofErr w:type="spellStart"/>
      <w:r w:rsidR="00925739" w:rsidRPr="00C730A2">
        <w:rPr>
          <w:rFonts w:asciiTheme="majorHAnsi" w:hAnsiTheme="majorHAnsi"/>
          <w:lang w:val="pt-BR"/>
        </w:rPr>
        <w:t>tabala</w:t>
      </w:r>
      <w:proofErr w:type="spellEnd"/>
      <w:r w:rsidR="00925739" w:rsidRPr="00C730A2">
        <w:rPr>
          <w:rFonts w:asciiTheme="majorHAnsi" w:hAnsiTheme="majorHAnsi"/>
          <w:lang w:val="pt-BR"/>
        </w:rPr>
        <w:t xml:space="preserve"> abaixo.</w:t>
      </w:r>
    </w:p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268"/>
      </w:tblGrid>
      <w:tr w:rsidR="00A52BEF" w:rsidTr="00A52BEF">
        <w:trPr>
          <w:jc w:val="center"/>
        </w:trPr>
        <w:tc>
          <w:tcPr>
            <w:tcW w:w="1134" w:type="dxa"/>
          </w:tcPr>
          <w:p w:rsidR="00A52BEF" w:rsidRDefault="00A52BEF" w:rsidP="00A52BEF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Ano</w:t>
            </w:r>
            <w:proofErr w:type="spellEnd"/>
          </w:p>
        </w:tc>
        <w:tc>
          <w:tcPr>
            <w:tcW w:w="2268" w:type="dxa"/>
          </w:tcPr>
          <w:p w:rsidR="00A52BEF" w:rsidRDefault="00A52BEF" w:rsidP="00A52BEF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Aluguel</w:t>
            </w:r>
            <w:proofErr w:type="spellEnd"/>
          </w:p>
        </w:tc>
      </w:tr>
      <w:tr w:rsidR="00A52BEF" w:rsidTr="00A52BEF">
        <w:trPr>
          <w:jc w:val="center"/>
        </w:trPr>
        <w:tc>
          <w:tcPr>
            <w:tcW w:w="1134" w:type="dxa"/>
          </w:tcPr>
          <w:p w:rsidR="00A52BEF" w:rsidRDefault="00A52BEF" w:rsidP="00A52B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2268" w:type="dxa"/>
          </w:tcPr>
          <w:p w:rsidR="00A52BEF" w:rsidRDefault="00A52BEF" w:rsidP="00A52B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3.915.680,40</w:t>
            </w:r>
          </w:p>
        </w:tc>
      </w:tr>
      <w:tr w:rsidR="00A52BEF" w:rsidTr="00A52BEF">
        <w:trPr>
          <w:jc w:val="center"/>
        </w:trPr>
        <w:tc>
          <w:tcPr>
            <w:tcW w:w="1134" w:type="dxa"/>
          </w:tcPr>
          <w:p w:rsidR="00A52BEF" w:rsidRDefault="00A52BEF" w:rsidP="00A52B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268" w:type="dxa"/>
          </w:tcPr>
          <w:p w:rsidR="00A52BEF" w:rsidRDefault="00A52BEF" w:rsidP="00A52B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4.307.248,44</w:t>
            </w:r>
          </w:p>
        </w:tc>
      </w:tr>
      <w:tr w:rsidR="00A52BEF" w:rsidTr="00A52BEF">
        <w:trPr>
          <w:jc w:val="center"/>
        </w:trPr>
        <w:tc>
          <w:tcPr>
            <w:tcW w:w="1134" w:type="dxa"/>
          </w:tcPr>
          <w:p w:rsidR="00A52BEF" w:rsidRDefault="00A52BEF" w:rsidP="00A52B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2268" w:type="dxa"/>
          </w:tcPr>
          <w:p w:rsidR="00A52BEF" w:rsidRDefault="00A52BEF" w:rsidP="00A52B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4.694.900,80</w:t>
            </w:r>
          </w:p>
        </w:tc>
      </w:tr>
      <w:tr w:rsidR="00A52BEF" w:rsidTr="00A52BEF">
        <w:trPr>
          <w:jc w:val="center"/>
        </w:trPr>
        <w:tc>
          <w:tcPr>
            <w:tcW w:w="1134" w:type="dxa"/>
          </w:tcPr>
          <w:p w:rsidR="00A52BEF" w:rsidRDefault="00A52BEF" w:rsidP="00A52B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2268" w:type="dxa"/>
          </w:tcPr>
          <w:p w:rsidR="00A52BEF" w:rsidRDefault="00A52BEF" w:rsidP="00A52B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5.070.492,86</w:t>
            </w:r>
          </w:p>
        </w:tc>
      </w:tr>
      <w:tr w:rsidR="00A52BEF" w:rsidTr="00A52BEF">
        <w:trPr>
          <w:jc w:val="center"/>
        </w:trPr>
        <w:tc>
          <w:tcPr>
            <w:tcW w:w="1134" w:type="dxa"/>
          </w:tcPr>
          <w:p w:rsidR="00A52BEF" w:rsidRDefault="00A52BEF" w:rsidP="00A52B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2268" w:type="dxa"/>
          </w:tcPr>
          <w:p w:rsidR="00A52BEF" w:rsidRDefault="00A52BEF" w:rsidP="00A52B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5.425.427,37</w:t>
            </w:r>
          </w:p>
        </w:tc>
      </w:tr>
    </w:tbl>
    <w:p w:rsidR="00457F4E" w:rsidRDefault="00457F4E" w:rsidP="009566E3">
      <w:pPr>
        <w:jc w:val="both"/>
        <w:rPr>
          <w:rFonts w:asciiTheme="majorHAnsi" w:hAnsiTheme="majorHAnsi"/>
        </w:rPr>
      </w:pPr>
    </w:p>
    <w:p w:rsidR="00A52BEF" w:rsidRPr="00C730A2" w:rsidRDefault="003F722E" w:rsidP="009566E3">
      <w:pPr>
        <w:jc w:val="both"/>
        <w:rPr>
          <w:rFonts w:asciiTheme="majorHAnsi" w:hAnsiTheme="majorHAnsi"/>
          <w:lang w:val="pt-BR"/>
        </w:rPr>
      </w:pPr>
      <w:r w:rsidRPr="00C730A2">
        <w:rPr>
          <w:rFonts w:asciiTheme="majorHAnsi" w:hAnsiTheme="majorHAnsi"/>
          <w:lang w:val="pt-BR"/>
        </w:rPr>
        <w:t>A composição do passivo oneroso da empresa está apresentada na tabela abaixo.</w:t>
      </w:r>
    </w:p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3109"/>
        <w:gridCol w:w="2418"/>
      </w:tblGrid>
      <w:tr w:rsidR="003F722E" w:rsidTr="005F6BE9">
        <w:trPr>
          <w:jc w:val="center"/>
        </w:trPr>
        <w:tc>
          <w:tcPr>
            <w:tcW w:w="2411" w:type="dxa"/>
          </w:tcPr>
          <w:p w:rsidR="003F722E" w:rsidRDefault="003F722E" w:rsidP="00F363F9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Credor</w:t>
            </w:r>
            <w:proofErr w:type="spellEnd"/>
          </w:p>
        </w:tc>
        <w:tc>
          <w:tcPr>
            <w:tcW w:w="3109" w:type="dxa"/>
          </w:tcPr>
          <w:p w:rsidR="003F722E" w:rsidRDefault="003F722E" w:rsidP="00F363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Valor da </w:t>
            </w:r>
            <w:proofErr w:type="spellStart"/>
            <w:r>
              <w:rPr>
                <w:rFonts w:asciiTheme="majorHAnsi" w:hAnsiTheme="majorHAnsi"/>
              </w:rPr>
              <w:t>dívida</w:t>
            </w:r>
            <w:proofErr w:type="spellEnd"/>
            <w:r>
              <w:rPr>
                <w:rFonts w:asciiTheme="majorHAnsi" w:hAnsiTheme="majorHAnsi"/>
              </w:rPr>
              <w:t xml:space="preserve"> (R$)</w:t>
            </w:r>
          </w:p>
        </w:tc>
        <w:tc>
          <w:tcPr>
            <w:tcW w:w="2418" w:type="dxa"/>
          </w:tcPr>
          <w:p w:rsidR="003F722E" w:rsidRDefault="003F722E" w:rsidP="003F722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Taxa de </w:t>
            </w:r>
            <w:proofErr w:type="spellStart"/>
            <w:r>
              <w:rPr>
                <w:rFonts w:asciiTheme="majorHAnsi" w:hAnsiTheme="majorHAnsi"/>
              </w:rPr>
              <w:t>juros</w:t>
            </w:r>
            <w:proofErr w:type="spellEnd"/>
          </w:p>
        </w:tc>
      </w:tr>
      <w:tr w:rsidR="003F722E" w:rsidTr="005F6BE9">
        <w:trPr>
          <w:jc w:val="center"/>
        </w:trPr>
        <w:tc>
          <w:tcPr>
            <w:tcW w:w="2411" w:type="dxa"/>
          </w:tcPr>
          <w:p w:rsidR="003F722E" w:rsidRDefault="003F722E" w:rsidP="003F72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Banco Rural</w:t>
            </w:r>
          </w:p>
        </w:tc>
        <w:tc>
          <w:tcPr>
            <w:tcW w:w="3109" w:type="dxa"/>
          </w:tcPr>
          <w:p w:rsidR="003F722E" w:rsidRDefault="003F722E" w:rsidP="003F722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9.640.853,00</w:t>
            </w:r>
          </w:p>
        </w:tc>
        <w:tc>
          <w:tcPr>
            <w:tcW w:w="2418" w:type="dxa"/>
          </w:tcPr>
          <w:p w:rsidR="003F722E" w:rsidRDefault="003F722E" w:rsidP="00F363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25,8% </w:t>
            </w:r>
            <w:proofErr w:type="spellStart"/>
            <w:r>
              <w:rPr>
                <w:rFonts w:asciiTheme="majorHAnsi" w:hAnsiTheme="majorHAnsi"/>
              </w:rPr>
              <w:t>a.a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</w:tr>
      <w:tr w:rsidR="003F722E" w:rsidTr="005F6BE9">
        <w:trPr>
          <w:jc w:val="center"/>
        </w:trPr>
        <w:tc>
          <w:tcPr>
            <w:tcW w:w="2411" w:type="dxa"/>
          </w:tcPr>
          <w:p w:rsidR="003F722E" w:rsidRDefault="003F722E" w:rsidP="003F722E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Bancos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Comerciais</w:t>
            </w:r>
            <w:proofErr w:type="spellEnd"/>
          </w:p>
        </w:tc>
        <w:tc>
          <w:tcPr>
            <w:tcW w:w="3109" w:type="dxa"/>
          </w:tcPr>
          <w:p w:rsidR="003F722E" w:rsidRDefault="003F722E" w:rsidP="00F363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17.734.280,00</w:t>
            </w:r>
          </w:p>
        </w:tc>
        <w:tc>
          <w:tcPr>
            <w:tcW w:w="2418" w:type="dxa"/>
          </w:tcPr>
          <w:p w:rsidR="003F722E" w:rsidRDefault="003F722E" w:rsidP="00F363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42,3% </w:t>
            </w:r>
            <w:proofErr w:type="spellStart"/>
            <w:r>
              <w:rPr>
                <w:rFonts w:asciiTheme="majorHAnsi" w:hAnsiTheme="majorHAnsi"/>
              </w:rPr>
              <w:t>a.a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</w:tr>
      <w:tr w:rsidR="003F722E" w:rsidTr="005F6BE9">
        <w:trPr>
          <w:jc w:val="center"/>
        </w:trPr>
        <w:tc>
          <w:tcPr>
            <w:tcW w:w="2411" w:type="dxa"/>
          </w:tcPr>
          <w:p w:rsidR="003F722E" w:rsidRDefault="003F722E" w:rsidP="003F72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BNDES</w:t>
            </w:r>
          </w:p>
        </w:tc>
        <w:tc>
          <w:tcPr>
            <w:tcW w:w="3109" w:type="dxa"/>
          </w:tcPr>
          <w:p w:rsidR="003F722E" w:rsidRDefault="003F722E" w:rsidP="00F363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35.649.820,00</w:t>
            </w:r>
          </w:p>
        </w:tc>
        <w:tc>
          <w:tcPr>
            <w:tcW w:w="2418" w:type="dxa"/>
          </w:tcPr>
          <w:p w:rsidR="003F722E" w:rsidRDefault="003F722E" w:rsidP="00F363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9,5% </w:t>
            </w:r>
            <w:proofErr w:type="spellStart"/>
            <w:r>
              <w:rPr>
                <w:rFonts w:asciiTheme="majorHAnsi" w:hAnsiTheme="majorHAnsi"/>
              </w:rPr>
              <w:t>a.a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</w:tr>
      <w:tr w:rsidR="003F722E" w:rsidTr="005F6BE9">
        <w:trPr>
          <w:jc w:val="center"/>
        </w:trPr>
        <w:tc>
          <w:tcPr>
            <w:tcW w:w="2411" w:type="dxa"/>
          </w:tcPr>
          <w:p w:rsidR="003F722E" w:rsidRDefault="003F722E" w:rsidP="003F722E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Debêntures</w:t>
            </w:r>
            <w:proofErr w:type="spellEnd"/>
          </w:p>
        </w:tc>
        <w:tc>
          <w:tcPr>
            <w:tcW w:w="3109" w:type="dxa"/>
          </w:tcPr>
          <w:p w:rsidR="003F722E" w:rsidRDefault="003F722E" w:rsidP="00F363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154.605.454,00</w:t>
            </w:r>
          </w:p>
        </w:tc>
        <w:tc>
          <w:tcPr>
            <w:tcW w:w="2418" w:type="dxa"/>
          </w:tcPr>
          <w:p w:rsidR="003F722E" w:rsidRDefault="003F722E" w:rsidP="00F363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8,1% </w:t>
            </w:r>
            <w:proofErr w:type="spellStart"/>
            <w:r>
              <w:rPr>
                <w:rFonts w:asciiTheme="majorHAnsi" w:hAnsiTheme="majorHAnsi"/>
              </w:rPr>
              <w:t>a.a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</w:tr>
    </w:tbl>
    <w:p w:rsidR="00457F4E" w:rsidRDefault="00457F4E" w:rsidP="00925739">
      <w:pPr>
        <w:jc w:val="both"/>
        <w:rPr>
          <w:rFonts w:asciiTheme="majorHAnsi" w:hAnsiTheme="majorHAnsi"/>
        </w:rPr>
      </w:pPr>
    </w:p>
    <w:p w:rsidR="003F722E" w:rsidRPr="00C730A2" w:rsidRDefault="00925739" w:rsidP="00925739">
      <w:pPr>
        <w:jc w:val="both"/>
        <w:rPr>
          <w:rFonts w:asciiTheme="majorHAnsi" w:hAnsiTheme="majorHAnsi"/>
          <w:lang w:val="pt-BR"/>
        </w:rPr>
      </w:pPr>
      <w:r w:rsidRPr="00C730A2">
        <w:rPr>
          <w:rFonts w:asciiTheme="majorHAnsi" w:hAnsiTheme="majorHAnsi"/>
          <w:lang w:val="pt-BR"/>
        </w:rPr>
        <w:t xml:space="preserve">Sabe-se ainda que os veículos </w:t>
      </w:r>
      <w:proofErr w:type="gramStart"/>
      <w:r w:rsidRPr="00C730A2">
        <w:rPr>
          <w:rFonts w:asciiTheme="majorHAnsi" w:hAnsiTheme="majorHAnsi"/>
          <w:lang w:val="pt-BR"/>
        </w:rPr>
        <w:t>têm</w:t>
      </w:r>
      <w:proofErr w:type="gramEnd"/>
      <w:r w:rsidRPr="00C730A2">
        <w:rPr>
          <w:rFonts w:asciiTheme="majorHAnsi" w:hAnsiTheme="majorHAnsi"/>
          <w:lang w:val="pt-BR"/>
        </w:rPr>
        <w:t xml:space="preserve"> vida útil de 5 anos</w:t>
      </w:r>
      <w:r w:rsidR="00B600BF" w:rsidRPr="00C730A2">
        <w:rPr>
          <w:rFonts w:asciiTheme="majorHAnsi" w:hAnsiTheme="majorHAnsi"/>
          <w:lang w:val="pt-BR"/>
        </w:rPr>
        <w:t>, sem valor residual (valor de sucata)</w:t>
      </w:r>
      <w:r w:rsidRPr="00C730A2">
        <w:rPr>
          <w:rFonts w:asciiTheme="majorHAnsi" w:hAnsiTheme="majorHAnsi"/>
          <w:lang w:val="pt-BR"/>
        </w:rPr>
        <w:t xml:space="preserve"> e que o Valor Residual Garantido </w:t>
      </w:r>
      <w:r w:rsidR="0024332E" w:rsidRPr="00C730A2">
        <w:rPr>
          <w:rFonts w:asciiTheme="majorHAnsi" w:hAnsiTheme="majorHAnsi"/>
          <w:lang w:val="pt-BR"/>
        </w:rPr>
        <w:t xml:space="preserve">(VRG) </w:t>
      </w:r>
      <w:r w:rsidRPr="00C730A2">
        <w:rPr>
          <w:rFonts w:asciiTheme="majorHAnsi" w:hAnsiTheme="majorHAnsi"/>
          <w:lang w:val="pt-BR"/>
        </w:rPr>
        <w:t xml:space="preserve">de toda a frota alugada atinge </w:t>
      </w:r>
      <w:r w:rsidR="0024332E" w:rsidRPr="00C730A2">
        <w:rPr>
          <w:rFonts w:asciiTheme="majorHAnsi" w:hAnsiTheme="majorHAnsi"/>
          <w:lang w:val="pt-BR"/>
        </w:rPr>
        <w:t xml:space="preserve">R$ </w:t>
      </w:r>
      <w:r w:rsidRPr="00C730A2">
        <w:rPr>
          <w:rFonts w:asciiTheme="majorHAnsi" w:hAnsiTheme="majorHAnsi"/>
          <w:lang w:val="pt-BR"/>
        </w:rPr>
        <w:t xml:space="preserve">7.023.300. Considerando uma depreciação linear, </w:t>
      </w:r>
      <w:r w:rsidR="003F722E" w:rsidRPr="00C730A2">
        <w:rPr>
          <w:rFonts w:asciiTheme="majorHAnsi" w:hAnsiTheme="majorHAnsi"/>
          <w:lang w:val="pt-BR"/>
        </w:rPr>
        <w:t>calcule a dívida ajustada e o lucro operacional ajustado</w:t>
      </w:r>
      <w:r w:rsidR="00AD4108" w:rsidRPr="00C730A2">
        <w:rPr>
          <w:rFonts w:asciiTheme="majorHAnsi" w:hAnsiTheme="majorHAnsi"/>
          <w:lang w:val="pt-BR"/>
        </w:rPr>
        <w:t xml:space="preserve"> de 2016</w:t>
      </w:r>
      <w:r w:rsidR="003F722E" w:rsidRPr="00C730A2">
        <w:rPr>
          <w:rFonts w:asciiTheme="majorHAnsi" w:hAnsiTheme="majorHAnsi"/>
          <w:lang w:val="pt-BR"/>
        </w:rPr>
        <w:t xml:space="preserve"> (ajuste pleno) da Usina. </w:t>
      </w:r>
    </w:p>
    <w:p w:rsidR="00396045" w:rsidRPr="00C730A2" w:rsidRDefault="00396045" w:rsidP="009566E3">
      <w:pPr>
        <w:jc w:val="both"/>
        <w:rPr>
          <w:rFonts w:asciiTheme="majorHAnsi" w:hAnsiTheme="majorHAnsi"/>
          <w:lang w:val="pt-BR"/>
        </w:rPr>
      </w:pPr>
    </w:p>
    <w:sectPr w:rsidR="00396045" w:rsidRPr="00C730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920A2"/>
    <w:multiLevelType w:val="hybridMultilevel"/>
    <w:tmpl w:val="5D141C94"/>
    <w:lvl w:ilvl="0" w:tplc="E15621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10A51"/>
    <w:multiLevelType w:val="hybridMultilevel"/>
    <w:tmpl w:val="F454F4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B5"/>
    <w:rsid w:val="000D0FEB"/>
    <w:rsid w:val="00123566"/>
    <w:rsid w:val="0024332E"/>
    <w:rsid w:val="002E1320"/>
    <w:rsid w:val="002E348A"/>
    <w:rsid w:val="002F63CD"/>
    <w:rsid w:val="00301FF7"/>
    <w:rsid w:val="003366D2"/>
    <w:rsid w:val="00372DF6"/>
    <w:rsid w:val="00384D34"/>
    <w:rsid w:val="00396045"/>
    <w:rsid w:val="003F722E"/>
    <w:rsid w:val="00413F4B"/>
    <w:rsid w:val="00457F4E"/>
    <w:rsid w:val="004D0866"/>
    <w:rsid w:val="005F6BE9"/>
    <w:rsid w:val="006A1CF8"/>
    <w:rsid w:val="006C1A18"/>
    <w:rsid w:val="00783DAB"/>
    <w:rsid w:val="00792F11"/>
    <w:rsid w:val="008840C8"/>
    <w:rsid w:val="008C6BD7"/>
    <w:rsid w:val="008E6011"/>
    <w:rsid w:val="00900178"/>
    <w:rsid w:val="00904EA9"/>
    <w:rsid w:val="00925739"/>
    <w:rsid w:val="009566E3"/>
    <w:rsid w:val="00A161CB"/>
    <w:rsid w:val="00A52BEF"/>
    <w:rsid w:val="00AD4108"/>
    <w:rsid w:val="00B42585"/>
    <w:rsid w:val="00B4434A"/>
    <w:rsid w:val="00B600BF"/>
    <w:rsid w:val="00B730B3"/>
    <w:rsid w:val="00BE0F21"/>
    <w:rsid w:val="00C15054"/>
    <w:rsid w:val="00C27BB5"/>
    <w:rsid w:val="00C3516F"/>
    <w:rsid w:val="00C730A2"/>
    <w:rsid w:val="00C73DAE"/>
    <w:rsid w:val="00CD3842"/>
    <w:rsid w:val="00D136E1"/>
    <w:rsid w:val="00D565D6"/>
    <w:rsid w:val="00E311E5"/>
    <w:rsid w:val="00ED73EA"/>
    <w:rsid w:val="00F1550E"/>
    <w:rsid w:val="00F2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C351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7BB5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C3516F"/>
    <w:rPr>
      <w:rFonts w:ascii="Times New Roman" w:eastAsia="Times New Roman" w:hAnsi="Times New Roman" w:cs="Times New Roman"/>
      <w:b/>
      <w:bCs/>
      <w:sz w:val="36"/>
      <w:szCs w:val="36"/>
      <w:lang w:val="pt-BR" w:eastAsia="pt-BR"/>
    </w:rPr>
  </w:style>
  <w:style w:type="character" w:customStyle="1" w:styleId="apple-converted-space">
    <w:name w:val="apple-converted-space"/>
    <w:basedOn w:val="Fontepargpadro"/>
    <w:rsid w:val="00C3516F"/>
  </w:style>
  <w:style w:type="paragraph" w:styleId="NormalWeb">
    <w:name w:val="Normal (Web)"/>
    <w:basedOn w:val="Normal"/>
    <w:uiPriority w:val="99"/>
    <w:semiHidden/>
    <w:unhideWhenUsed/>
    <w:rsid w:val="00C3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C3516F"/>
    <w:rPr>
      <w:i/>
      <w:iCs/>
    </w:rPr>
  </w:style>
  <w:style w:type="character" w:styleId="Hyperlink">
    <w:name w:val="Hyperlink"/>
    <w:basedOn w:val="Fontepargpadro"/>
    <w:uiPriority w:val="99"/>
    <w:unhideWhenUsed/>
    <w:rsid w:val="00C73DAE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A5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F6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6B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C351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7BB5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C3516F"/>
    <w:rPr>
      <w:rFonts w:ascii="Times New Roman" w:eastAsia="Times New Roman" w:hAnsi="Times New Roman" w:cs="Times New Roman"/>
      <w:b/>
      <w:bCs/>
      <w:sz w:val="36"/>
      <w:szCs w:val="36"/>
      <w:lang w:val="pt-BR" w:eastAsia="pt-BR"/>
    </w:rPr>
  </w:style>
  <w:style w:type="character" w:customStyle="1" w:styleId="apple-converted-space">
    <w:name w:val="apple-converted-space"/>
    <w:basedOn w:val="Fontepargpadro"/>
    <w:rsid w:val="00C3516F"/>
  </w:style>
  <w:style w:type="paragraph" w:styleId="NormalWeb">
    <w:name w:val="Normal (Web)"/>
    <w:basedOn w:val="Normal"/>
    <w:uiPriority w:val="99"/>
    <w:semiHidden/>
    <w:unhideWhenUsed/>
    <w:rsid w:val="00C3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C3516F"/>
    <w:rPr>
      <w:i/>
      <w:iCs/>
    </w:rPr>
  </w:style>
  <w:style w:type="character" w:styleId="Hyperlink">
    <w:name w:val="Hyperlink"/>
    <w:basedOn w:val="Fontepargpadro"/>
    <w:uiPriority w:val="99"/>
    <w:unhideWhenUsed/>
    <w:rsid w:val="00C73DAE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A5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F6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6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4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29753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8D9D7-9E7B-45C8-901B-BDD91293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Augusto Ambrozini</dc:creator>
  <cp:keywords/>
  <dc:description/>
  <cp:lastModifiedBy>Marcelo Augusto Ambrozini</cp:lastModifiedBy>
  <cp:revision>3</cp:revision>
  <cp:lastPrinted>2016-03-29T16:05:00Z</cp:lastPrinted>
  <dcterms:created xsi:type="dcterms:W3CDTF">2017-04-25T15:50:00Z</dcterms:created>
  <dcterms:modified xsi:type="dcterms:W3CDTF">2017-04-27T21:37:00Z</dcterms:modified>
</cp:coreProperties>
</file>