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FE" w:rsidRPr="00B53B9D" w:rsidRDefault="008510D9" w:rsidP="0097413A">
      <w:pPr>
        <w:spacing w:line="360" w:lineRule="auto"/>
        <w:ind w:firstLine="709"/>
        <w:rPr>
          <w:rFonts w:ascii="Times New Roman" w:hAnsi="Times New Roman" w:cs="Times New Roman"/>
          <w:b/>
          <w:sz w:val="28"/>
          <w:szCs w:val="28"/>
        </w:rPr>
      </w:pPr>
      <w:r w:rsidRPr="00B53B9D">
        <w:rPr>
          <w:rFonts w:ascii="Times New Roman" w:hAnsi="Times New Roman" w:cs="Times New Roman"/>
          <w:b/>
          <w:sz w:val="28"/>
          <w:szCs w:val="28"/>
        </w:rPr>
        <w:t xml:space="preserve">Leitura. </w:t>
      </w:r>
    </w:p>
    <w:p w:rsidR="008510D9" w:rsidRPr="00B53B9D" w:rsidRDefault="001611C4" w:rsidP="008510D9">
      <w:pPr>
        <w:spacing w:line="360" w:lineRule="auto"/>
        <w:ind w:firstLine="709"/>
        <w:rPr>
          <w:rFonts w:ascii="Times New Roman" w:hAnsi="Times New Roman" w:cs="Times New Roman"/>
          <w:b/>
          <w:sz w:val="24"/>
          <w:szCs w:val="24"/>
        </w:rPr>
      </w:pPr>
      <w:r w:rsidRPr="00B53B9D">
        <w:rPr>
          <w:rFonts w:ascii="Times New Roman" w:hAnsi="Times New Roman" w:cs="Times New Roman"/>
          <w:b/>
          <w:sz w:val="24"/>
          <w:szCs w:val="24"/>
        </w:rPr>
        <w:t>“</w:t>
      </w:r>
      <w:r w:rsidR="008510D9" w:rsidRPr="00B53B9D">
        <w:rPr>
          <w:rFonts w:ascii="Times New Roman" w:hAnsi="Times New Roman" w:cs="Times New Roman"/>
          <w:b/>
          <w:sz w:val="24"/>
          <w:szCs w:val="24"/>
        </w:rPr>
        <w:t>7.</w:t>
      </w:r>
      <w:r w:rsidR="002A7AE8" w:rsidRPr="00B53B9D">
        <w:rPr>
          <w:rFonts w:ascii="Times New Roman" w:hAnsi="Times New Roman" w:cs="Times New Roman"/>
          <w:b/>
          <w:sz w:val="24"/>
          <w:szCs w:val="24"/>
        </w:rPr>
        <w:t xml:space="preserve"> </w:t>
      </w:r>
      <w:r w:rsidR="008510D9" w:rsidRPr="00B53B9D">
        <w:rPr>
          <w:rFonts w:ascii="Times New Roman" w:hAnsi="Times New Roman" w:cs="Times New Roman"/>
          <w:b/>
          <w:sz w:val="24"/>
          <w:szCs w:val="24"/>
        </w:rPr>
        <w:t xml:space="preserve">3        Formação do </w:t>
      </w:r>
      <w:r w:rsidR="008510D9" w:rsidRPr="00B53B9D">
        <w:rPr>
          <w:rFonts w:ascii="Times New Roman" w:hAnsi="Times New Roman" w:cs="Times New Roman"/>
          <w:b/>
          <w:i/>
          <w:sz w:val="24"/>
          <w:szCs w:val="24"/>
        </w:rPr>
        <w:t>spread</w:t>
      </w:r>
      <w:r w:rsidR="008510D9" w:rsidRPr="00B53B9D">
        <w:rPr>
          <w:rFonts w:ascii="Times New Roman" w:hAnsi="Times New Roman" w:cs="Times New Roman"/>
          <w:b/>
          <w:sz w:val="24"/>
          <w:szCs w:val="24"/>
        </w:rPr>
        <w:t xml:space="preserve"> bancário. </w:t>
      </w:r>
    </w:p>
    <w:p w:rsidR="00F05027" w:rsidRPr="00B53B9D" w:rsidRDefault="008510D9" w:rsidP="00882E5E">
      <w:pPr>
        <w:spacing w:line="360" w:lineRule="auto"/>
        <w:ind w:firstLine="709"/>
        <w:rPr>
          <w:rFonts w:ascii="Times New Roman" w:hAnsi="Times New Roman" w:cs="Times New Roman"/>
          <w:sz w:val="24"/>
          <w:szCs w:val="24"/>
        </w:rPr>
      </w:pPr>
      <w:r w:rsidRPr="00B53B9D">
        <w:rPr>
          <w:rFonts w:ascii="Times New Roman" w:hAnsi="Times New Roman" w:cs="Times New Roman"/>
          <w:sz w:val="24"/>
          <w:szCs w:val="24"/>
        </w:rPr>
        <w:t xml:space="preserve">O </w:t>
      </w:r>
      <w:r w:rsidRPr="00B53B9D">
        <w:rPr>
          <w:rFonts w:ascii="Times New Roman" w:hAnsi="Times New Roman" w:cs="Times New Roman"/>
          <w:i/>
          <w:sz w:val="24"/>
          <w:szCs w:val="24"/>
        </w:rPr>
        <w:t>spread</w:t>
      </w:r>
      <w:r w:rsidRPr="00B53B9D">
        <w:rPr>
          <w:rFonts w:ascii="Times New Roman" w:hAnsi="Times New Roman" w:cs="Times New Roman"/>
          <w:sz w:val="24"/>
          <w:szCs w:val="24"/>
        </w:rPr>
        <w:t xml:space="preserve"> bancário é medido pela diferença entre o custo de um empréstimo e a remuneração paga ao poupador. Há inúmeros fatores que definem o </w:t>
      </w:r>
      <w:r w:rsidRPr="00B53B9D">
        <w:rPr>
          <w:rFonts w:ascii="Times New Roman" w:hAnsi="Times New Roman" w:cs="Times New Roman"/>
          <w:i/>
          <w:sz w:val="24"/>
          <w:szCs w:val="24"/>
        </w:rPr>
        <w:t xml:space="preserve">spread </w:t>
      </w:r>
      <w:r w:rsidRPr="00B53B9D">
        <w:rPr>
          <w:rFonts w:ascii="Times New Roman" w:hAnsi="Times New Roman" w:cs="Times New Roman"/>
          <w:sz w:val="24"/>
          <w:szCs w:val="24"/>
        </w:rPr>
        <w:t>cobrado pelo banco, destacando-se principalmente a liquidez, risco da operação e garantias oferecidas e maturidade.</w:t>
      </w:r>
      <w:r w:rsidR="001611C4" w:rsidRPr="00B53B9D">
        <w:rPr>
          <w:rFonts w:ascii="Times New Roman" w:hAnsi="Times New Roman" w:cs="Times New Roman"/>
          <w:sz w:val="24"/>
          <w:szCs w:val="24"/>
        </w:rPr>
        <w:t>”</w:t>
      </w:r>
      <w:r w:rsidRPr="00B53B9D">
        <w:rPr>
          <w:rFonts w:ascii="Times New Roman" w:hAnsi="Times New Roman" w:cs="Times New Roman"/>
          <w:sz w:val="24"/>
          <w:szCs w:val="24"/>
        </w:rPr>
        <w:t xml:space="preserve"> (</w:t>
      </w:r>
      <w:r w:rsidR="005C1E07" w:rsidRPr="00B53B9D">
        <w:rPr>
          <w:rFonts w:ascii="Times New Roman" w:hAnsi="Times New Roman" w:cs="Times New Roman"/>
          <w:sz w:val="24"/>
          <w:szCs w:val="24"/>
        </w:rPr>
        <w:t>Assaf Neto, 2014, p.141)</w:t>
      </w:r>
      <w:r w:rsidR="002429B3" w:rsidRPr="00B53B9D">
        <w:rPr>
          <w:rStyle w:val="Refdenotaderodap"/>
          <w:rFonts w:ascii="Times New Roman" w:hAnsi="Times New Roman" w:cs="Times New Roman"/>
          <w:sz w:val="24"/>
          <w:szCs w:val="24"/>
        </w:rPr>
        <w:footnoteReference w:id="1"/>
      </w:r>
      <w:r w:rsidR="005C1E07" w:rsidRPr="00B53B9D">
        <w:rPr>
          <w:rFonts w:ascii="Times New Roman" w:hAnsi="Times New Roman" w:cs="Times New Roman"/>
          <w:sz w:val="24"/>
          <w:szCs w:val="24"/>
        </w:rPr>
        <w:t xml:space="preserve"> </w:t>
      </w:r>
    </w:p>
    <w:p w:rsidR="005360A6" w:rsidRPr="00B53B9D" w:rsidRDefault="002429B3" w:rsidP="005360A6">
      <w:pPr>
        <w:spacing w:line="360" w:lineRule="auto"/>
        <w:ind w:firstLine="709"/>
        <w:rPr>
          <w:rFonts w:ascii="Times New Roman" w:hAnsi="Times New Roman" w:cs="Times New Roman"/>
          <w:b/>
          <w:sz w:val="28"/>
          <w:szCs w:val="28"/>
        </w:rPr>
      </w:pPr>
      <w:r w:rsidRPr="00B53B9D">
        <w:rPr>
          <w:rFonts w:ascii="Times New Roman" w:hAnsi="Times New Roman" w:cs="Times New Roman"/>
          <w:b/>
          <w:sz w:val="28"/>
          <w:szCs w:val="28"/>
        </w:rPr>
        <w:t>Reportagens.</w:t>
      </w:r>
    </w:p>
    <w:p w:rsidR="005360A6" w:rsidRPr="00B53B9D" w:rsidRDefault="005360A6" w:rsidP="00882E5E">
      <w:pPr>
        <w:pStyle w:val="PargrafodaLista"/>
        <w:numPr>
          <w:ilvl w:val="0"/>
          <w:numId w:val="2"/>
        </w:numPr>
        <w:spacing w:line="360" w:lineRule="auto"/>
        <w:ind w:left="708" w:firstLine="1"/>
        <w:rPr>
          <w:rFonts w:ascii="Times New Roman" w:hAnsi="Times New Roman" w:cs="Times New Roman"/>
          <w:b/>
          <w:sz w:val="24"/>
          <w:szCs w:val="24"/>
        </w:rPr>
      </w:pPr>
      <w:r w:rsidRPr="00B53B9D">
        <w:rPr>
          <w:rFonts w:ascii="Times New Roman" w:hAnsi="Times New Roman" w:cs="Times New Roman"/>
          <w:b/>
          <w:sz w:val="24"/>
          <w:szCs w:val="24"/>
        </w:rPr>
        <w:t>Composição do spread varia de acordo com</w:t>
      </w:r>
      <w:r w:rsidRPr="00B53B9D">
        <w:rPr>
          <w:rFonts w:ascii="Times New Roman" w:hAnsi="Times New Roman" w:cs="Times New Roman"/>
          <w:b/>
          <w:i/>
          <w:sz w:val="24"/>
          <w:szCs w:val="24"/>
        </w:rPr>
        <w:t xml:space="preserve"> </w:t>
      </w:r>
      <w:proofErr w:type="spellStart"/>
      <w:r w:rsidRPr="00B53B9D">
        <w:rPr>
          <w:rFonts w:ascii="Times New Roman" w:hAnsi="Times New Roman" w:cs="Times New Roman"/>
          <w:b/>
          <w:i/>
          <w:sz w:val="24"/>
          <w:szCs w:val="24"/>
        </w:rPr>
        <w:t>funding</w:t>
      </w:r>
      <w:proofErr w:type="spellEnd"/>
      <w:r w:rsidRPr="00B53B9D">
        <w:rPr>
          <w:rFonts w:ascii="Times New Roman" w:hAnsi="Times New Roman" w:cs="Times New Roman"/>
          <w:b/>
          <w:sz w:val="24"/>
          <w:szCs w:val="24"/>
        </w:rPr>
        <w:t>, diz BC.</w:t>
      </w:r>
    </w:p>
    <w:p w:rsidR="00882E5E" w:rsidRPr="00B53B9D" w:rsidRDefault="00882E5E" w:rsidP="00882E5E">
      <w:pPr>
        <w:pStyle w:val="PargrafodaLista"/>
        <w:spacing w:line="360" w:lineRule="auto"/>
        <w:ind w:left="709" w:firstLine="707"/>
        <w:rPr>
          <w:rFonts w:ascii="Times New Roman" w:hAnsi="Times New Roman" w:cs="Times New Roman"/>
          <w:sz w:val="18"/>
          <w:szCs w:val="18"/>
        </w:rPr>
      </w:pPr>
      <w:r w:rsidRPr="00B53B9D">
        <w:rPr>
          <w:rFonts w:ascii="Times New Roman" w:hAnsi="Times New Roman" w:cs="Times New Roman"/>
          <w:sz w:val="18"/>
          <w:szCs w:val="18"/>
        </w:rPr>
        <w:t xml:space="preserve">Por Eduardo Campos, Fabio </w:t>
      </w:r>
      <w:proofErr w:type="spellStart"/>
      <w:r w:rsidRPr="00B53B9D">
        <w:rPr>
          <w:rFonts w:ascii="Times New Roman" w:hAnsi="Times New Roman" w:cs="Times New Roman"/>
          <w:sz w:val="18"/>
          <w:szCs w:val="18"/>
        </w:rPr>
        <w:t>Graner</w:t>
      </w:r>
      <w:proofErr w:type="spellEnd"/>
      <w:r w:rsidRPr="00B53B9D">
        <w:rPr>
          <w:rFonts w:ascii="Times New Roman" w:hAnsi="Times New Roman" w:cs="Times New Roman"/>
          <w:sz w:val="18"/>
          <w:szCs w:val="18"/>
        </w:rPr>
        <w:t xml:space="preserve"> e Cristiane </w:t>
      </w:r>
      <w:proofErr w:type="spellStart"/>
      <w:r w:rsidRPr="00B53B9D">
        <w:rPr>
          <w:rFonts w:ascii="Times New Roman" w:hAnsi="Times New Roman" w:cs="Times New Roman"/>
          <w:sz w:val="18"/>
          <w:szCs w:val="18"/>
        </w:rPr>
        <w:t>Bonfanti</w:t>
      </w:r>
      <w:proofErr w:type="spellEnd"/>
      <w:r w:rsidRPr="00B53B9D">
        <w:rPr>
          <w:rFonts w:ascii="Times New Roman" w:hAnsi="Times New Roman" w:cs="Times New Roman"/>
          <w:sz w:val="18"/>
          <w:szCs w:val="18"/>
        </w:rPr>
        <w:t>. 8/02/2017. 05h00</w:t>
      </w:r>
    </w:p>
    <w:p w:rsidR="005360A6" w:rsidRPr="00B53B9D" w:rsidRDefault="00882E5E" w:rsidP="001B420B">
      <w:pPr>
        <w:spacing w:after="40"/>
        <w:ind w:firstLine="709"/>
        <w:rPr>
          <w:sz w:val="24"/>
          <w:szCs w:val="24"/>
        </w:rPr>
      </w:pPr>
      <w:r w:rsidRPr="00B53B9D">
        <w:rPr>
          <w:sz w:val="24"/>
          <w:szCs w:val="24"/>
        </w:rPr>
        <w:t xml:space="preserve">Brasília - </w:t>
      </w:r>
      <w:r w:rsidR="005360A6" w:rsidRPr="00B53B9D">
        <w:rPr>
          <w:sz w:val="24"/>
          <w:szCs w:val="24"/>
        </w:rPr>
        <w:t>O lucro dos bancos responde por mais da metade do spread em grande parte das operações de crédito feitas pelas pessoas físicas. Isso é o que aponta dados apresentados pelo presidente do Banco Central (BC), Ilan Goldfajn, em painel de discussão sobre a diferença entra a taxa de captação e o custo do dinheiro para o tomador final do crédito, o spread bancário.</w:t>
      </w:r>
    </w:p>
    <w:p w:rsidR="005360A6" w:rsidRPr="00B53B9D" w:rsidRDefault="005360A6" w:rsidP="001B420B">
      <w:pPr>
        <w:spacing w:after="40"/>
        <w:ind w:firstLine="709"/>
        <w:rPr>
          <w:sz w:val="24"/>
          <w:szCs w:val="24"/>
        </w:rPr>
      </w:pPr>
      <w:r w:rsidRPr="00B53B9D">
        <w:rPr>
          <w:sz w:val="24"/>
          <w:szCs w:val="24"/>
        </w:rPr>
        <w:t xml:space="preserve">O BC não fazia essa decomposição publicamente desde 2015, quando avaliou dados de 2014. Os números contrariam, ao menos em parte, a tese de que o custo do dinheiro é alto especialmente porque a inadimplência é elevada. O custo mostra maior relação com o tipo de </w:t>
      </w:r>
      <w:proofErr w:type="spellStart"/>
      <w:r w:rsidRPr="00B53B9D">
        <w:rPr>
          <w:sz w:val="24"/>
          <w:szCs w:val="24"/>
        </w:rPr>
        <w:t>funding</w:t>
      </w:r>
      <w:proofErr w:type="spellEnd"/>
      <w:r w:rsidR="00F05027" w:rsidRPr="00B53B9D">
        <w:rPr>
          <w:sz w:val="24"/>
          <w:szCs w:val="24"/>
        </w:rPr>
        <w:t>, se direcionado ou livre.</w:t>
      </w:r>
    </w:p>
    <w:p w:rsidR="00F05027" w:rsidRPr="00B53B9D" w:rsidRDefault="005360A6" w:rsidP="001B420B">
      <w:pPr>
        <w:spacing w:after="40"/>
        <w:ind w:firstLine="709"/>
        <w:rPr>
          <w:sz w:val="24"/>
          <w:szCs w:val="24"/>
        </w:rPr>
      </w:pPr>
      <w:r w:rsidRPr="00B53B9D">
        <w:rPr>
          <w:sz w:val="24"/>
          <w:szCs w:val="24"/>
        </w:rPr>
        <w:t>Na decomposição do "crédito livre com taxas prefixadas", que abarca a imensa maioria das operações feitas pelas pessoas físicas, o spread médio no período foi de 35,2 pontos, sendo 18,5 pontos - ou 53% do total - referente ao lucro das instituições financeiras. Os impostos diretos (CSLL e Imposto de Renda) r</w:t>
      </w:r>
      <w:r w:rsidR="00F05027" w:rsidRPr="00B53B9D">
        <w:rPr>
          <w:sz w:val="24"/>
          <w:szCs w:val="24"/>
        </w:rPr>
        <w:t>espondem por 7 pontos, ou cerca de 20%.</w:t>
      </w:r>
    </w:p>
    <w:p w:rsidR="00882E5E" w:rsidRDefault="00F05027" w:rsidP="001B420B">
      <w:pPr>
        <w:spacing w:after="40"/>
        <w:ind w:firstLine="709"/>
        <w:rPr>
          <w:rStyle w:val="Hyperlink"/>
          <w:rFonts w:ascii="Times New Roman" w:hAnsi="Times New Roman" w:cs="Times New Roman"/>
          <w:i/>
          <w:sz w:val="24"/>
          <w:szCs w:val="24"/>
        </w:rPr>
      </w:pPr>
      <w:r w:rsidRPr="00B53B9D">
        <w:rPr>
          <w:sz w:val="24"/>
          <w:szCs w:val="24"/>
        </w:rPr>
        <w:t>A inadimplência aparece em terceiro lugar respondendo por outros 6,5 pontos, ou 18,5% do total. O restante do spread é dividido entre custos administrativos, com 2,2 pontos, e compulsórios, encargos fiscais e Fundo Garantidor de Crédito (FGC) com 1,2 ponto.</w:t>
      </w:r>
      <w:r w:rsidRPr="00B53B9D">
        <w:rPr>
          <w:color w:val="666666"/>
          <w:sz w:val="24"/>
          <w:szCs w:val="24"/>
        </w:rPr>
        <w:br/>
      </w:r>
      <w:r w:rsidR="001611C4" w:rsidRPr="00B53B9D">
        <w:rPr>
          <w:sz w:val="24"/>
          <w:szCs w:val="24"/>
        </w:rPr>
        <w:t xml:space="preserve">Trecho extraído em: </w:t>
      </w:r>
      <w:hyperlink r:id="rId8" w:history="1">
        <w:r w:rsidR="001611C4" w:rsidRPr="00B53B9D">
          <w:rPr>
            <w:rStyle w:val="Hyperlink"/>
            <w:rFonts w:ascii="Times New Roman" w:hAnsi="Times New Roman" w:cs="Times New Roman"/>
            <w:i/>
            <w:sz w:val="24"/>
            <w:szCs w:val="24"/>
          </w:rPr>
          <w:t>http://www.valor.com.br/financas/4862016/composicao-do-spread-varia-de-acordo-com-funding-diz-bc</w:t>
        </w:r>
      </w:hyperlink>
    </w:p>
    <w:p w:rsidR="00B53B9D" w:rsidRDefault="00B53B9D" w:rsidP="0073168D">
      <w:pPr>
        <w:ind w:firstLine="708"/>
        <w:rPr>
          <w:i/>
          <w:sz w:val="24"/>
          <w:szCs w:val="24"/>
        </w:rPr>
      </w:pPr>
    </w:p>
    <w:p w:rsidR="0016086F" w:rsidRDefault="0016086F" w:rsidP="0073168D">
      <w:pPr>
        <w:ind w:firstLine="708"/>
        <w:rPr>
          <w:i/>
          <w:sz w:val="24"/>
          <w:szCs w:val="24"/>
        </w:rPr>
      </w:pPr>
    </w:p>
    <w:p w:rsidR="001B420B" w:rsidRPr="00B53B9D" w:rsidRDefault="001B420B" w:rsidP="0073168D">
      <w:pPr>
        <w:ind w:firstLine="708"/>
        <w:rPr>
          <w:i/>
          <w:sz w:val="24"/>
          <w:szCs w:val="24"/>
        </w:rPr>
      </w:pPr>
    </w:p>
    <w:p w:rsidR="00F05027" w:rsidRPr="00B53B9D" w:rsidRDefault="00F05027" w:rsidP="00F05027">
      <w:pPr>
        <w:pStyle w:val="PargrafodaLista"/>
        <w:numPr>
          <w:ilvl w:val="0"/>
          <w:numId w:val="2"/>
        </w:numPr>
        <w:rPr>
          <w:rFonts w:ascii="Times New Roman" w:hAnsi="Times New Roman" w:cs="Times New Roman"/>
          <w:b/>
          <w:sz w:val="24"/>
          <w:szCs w:val="24"/>
        </w:rPr>
      </w:pPr>
      <w:r w:rsidRPr="00B53B9D">
        <w:rPr>
          <w:rFonts w:ascii="Times New Roman" w:hAnsi="Times New Roman" w:cs="Times New Roman"/>
          <w:b/>
          <w:sz w:val="24"/>
          <w:szCs w:val="24"/>
        </w:rPr>
        <w:lastRenderedPageBreak/>
        <w:t>Inadimplência passa a ter maior peso no spread bancário, diz BC.</w:t>
      </w:r>
    </w:p>
    <w:p w:rsidR="00882E5E" w:rsidRPr="00B53B9D" w:rsidRDefault="00882E5E" w:rsidP="00882E5E">
      <w:pPr>
        <w:pStyle w:val="PargrafodaLista"/>
        <w:ind w:left="1069"/>
        <w:rPr>
          <w:rFonts w:ascii="Times New Roman" w:hAnsi="Times New Roman" w:cs="Times New Roman"/>
          <w:sz w:val="18"/>
          <w:szCs w:val="18"/>
        </w:rPr>
      </w:pPr>
      <w:r w:rsidRPr="00B53B9D">
        <w:rPr>
          <w:rFonts w:ascii="Times New Roman" w:hAnsi="Times New Roman" w:cs="Times New Roman"/>
          <w:sz w:val="18"/>
          <w:szCs w:val="18"/>
        </w:rPr>
        <w:t>Por Marcela Ayres, da Reuters. 9/03/2017, 16h02.</w:t>
      </w:r>
    </w:p>
    <w:p w:rsidR="00F05027" w:rsidRPr="00B53B9D" w:rsidRDefault="00F05027" w:rsidP="001B420B">
      <w:pPr>
        <w:pStyle w:val="NormalWeb"/>
        <w:shd w:val="clear" w:color="auto" w:fill="FFFFFF"/>
        <w:spacing w:before="0" w:beforeAutospacing="0" w:afterLines="40" w:after="96" w:afterAutospacing="0" w:line="360" w:lineRule="atLeast"/>
        <w:jc w:val="both"/>
      </w:pPr>
      <w:r w:rsidRPr="00B53B9D">
        <w:tab/>
        <w:t>Brasília – O</w:t>
      </w:r>
      <w:r w:rsidRPr="00B53B9D">
        <w:rPr>
          <w:rStyle w:val="apple-converted-space"/>
          <w:color w:val="000000" w:themeColor="text1"/>
        </w:rPr>
        <w:t> </w:t>
      </w:r>
      <w:hyperlink r:id="rId9" w:history="1">
        <w:r w:rsidRPr="00B53B9D">
          <w:rPr>
            <w:rStyle w:val="Hyperlink"/>
            <w:b/>
            <w:bCs/>
            <w:color w:val="000000" w:themeColor="text1"/>
            <w:bdr w:val="none" w:sz="0" w:space="0" w:color="auto" w:frame="1"/>
          </w:rPr>
          <w:t>Banco Central</w:t>
        </w:r>
      </w:hyperlink>
      <w:r w:rsidRPr="00B53B9D">
        <w:rPr>
          <w:rStyle w:val="apple-converted-space"/>
        </w:rPr>
        <w:t> </w:t>
      </w:r>
      <w:r w:rsidRPr="00B53B9D">
        <w:t>apontou nesta quinta-feira a</w:t>
      </w:r>
      <w:r w:rsidRPr="00B53B9D">
        <w:rPr>
          <w:rStyle w:val="apple-converted-space"/>
        </w:rPr>
        <w:t> </w:t>
      </w:r>
      <w:hyperlink r:id="rId10" w:history="1">
        <w:r w:rsidRPr="00B53B9D">
          <w:rPr>
            <w:rStyle w:val="Hyperlink"/>
            <w:b/>
            <w:bCs/>
            <w:color w:val="000000" w:themeColor="text1"/>
            <w:bdr w:val="none" w:sz="0" w:space="0" w:color="auto" w:frame="1"/>
          </w:rPr>
          <w:t>inadimplência</w:t>
        </w:r>
      </w:hyperlink>
      <w:r w:rsidRPr="00B53B9D">
        <w:t>, no lugar do lucro dos bancos, como o componente de maior peso para o spread em grande parte das operações de crédito feitas pelas pessoas físicas.</w:t>
      </w:r>
    </w:p>
    <w:p w:rsidR="00F05027" w:rsidRPr="00B53B9D" w:rsidRDefault="00F05027" w:rsidP="001B420B">
      <w:pPr>
        <w:pStyle w:val="NormalWeb"/>
        <w:shd w:val="clear" w:color="auto" w:fill="FFFFFF"/>
        <w:spacing w:before="0" w:beforeAutospacing="0" w:afterLines="40" w:after="96" w:afterAutospacing="0" w:line="360" w:lineRule="atLeast"/>
        <w:ind w:firstLine="708"/>
        <w:jc w:val="both"/>
      </w:pPr>
      <w:r w:rsidRPr="00B53B9D">
        <w:t>O spread bancário –diferença entre o custo de captação dos bancos e a taxa efetivamente cobrada ao consumidor final</w:t>
      </w:r>
      <w:r w:rsidR="00360D5D">
        <w:t xml:space="preserve"> </w:t>
      </w:r>
      <w:r w:rsidRPr="00B53B9D">
        <w:t>– entre os anos de 2011 a 2016 para a modalidade de crédito livre com taxas prefixadas, que responde pela maior parte dos financiamentos contratados por famílias, ficou praticamente inalterado em 35,0 pontos, contra 35,2 pontos em apresentação divulgada no mês passado.</w:t>
      </w:r>
    </w:p>
    <w:p w:rsidR="00F05027" w:rsidRPr="00B53B9D" w:rsidRDefault="00F05027" w:rsidP="001B420B">
      <w:pPr>
        <w:pStyle w:val="NormalWeb"/>
        <w:shd w:val="clear" w:color="auto" w:fill="FFFFFF"/>
        <w:spacing w:before="0" w:beforeAutospacing="0" w:afterLines="40" w:after="96" w:afterAutospacing="0" w:line="360" w:lineRule="atLeast"/>
        <w:ind w:firstLine="708"/>
        <w:jc w:val="both"/>
      </w:pPr>
      <w:r w:rsidRPr="00B53B9D">
        <w:t>Mas o lucro dos bancos, que antes aparecia com maior representatividade, caiu a 11,9 pontos, contra 18,5 pontos.</w:t>
      </w:r>
    </w:p>
    <w:p w:rsidR="00F05027" w:rsidRPr="00B53B9D" w:rsidRDefault="00F05027" w:rsidP="001B420B">
      <w:pPr>
        <w:pStyle w:val="NormalWeb"/>
        <w:shd w:val="clear" w:color="auto" w:fill="FFFFFF"/>
        <w:spacing w:before="0" w:beforeAutospacing="0" w:afterLines="40" w:after="96" w:afterAutospacing="0" w:line="360" w:lineRule="atLeast"/>
        <w:ind w:firstLine="708"/>
        <w:jc w:val="both"/>
      </w:pPr>
      <w:r w:rsidRPr="00B53B9D">
        <w:t>Já a inadimplência, que antes respondia pelo terceiro componente de maior peso no spread, assumiu a dianteira no cálculo, subindo a 13 pontos, ante 6,5 pontos.</w:t>
      </w:r>
    </w:p>
    <w:p w:rsidR="00F05027" w:rsidRPr="00B53B9D" w:rsidRDefault="00F05027" w:rsidP="001B420B">
      <w:pPr>
        <w:pStyle w:val="NormalWeb"/>
        <w:shd w:val="clear" w:color="auto" w:fill="FFFFFF"/>
        <w:spacing w:before="0" w:beforeAutospacing="0" w:afterLines="40" w:after="96" w:afterAutospacing="0" w:line="360" w:lineRule="atLeast"/>
        <w:ind w:firstLine="708"/>
        <w:jc w:val="both"/>
      </w:pPr>
      <w:r w:rsidRPr="00B53B9D">
        <w:t>Impostos diretos (CSLL e Imposto de Renda) tiveram seu peso elevado, mas em menor dose, passando de 7,0 para 7,9 pontos.</w:t>
      </w:r>
    </w:p>
    <w:p w:rsidR="00F05027" w:rsidRPr="00B53B9D" w:rsidRDefault="00F05027" w:rsidP="001B420B">
      <w:pPr>
        <w:pStyle w:val="NormalWeb"/>
        <w:shd w:val="clear" w:color="auto" w:fill="FFFFFF"/>
        <w:spacing w:before="0" w:beforeAutospacing="0" w:afterLines="40" w:after="96" w:afterAutospacing="0" w:line="360" w:lineRule="atLeast"/>
        <w:ind w:firstLine="708"/>
        <w:jc w:val="both"/>
      </w:pPr>
      <w:r w:rsidRPr="00B53B9D">
        <w:t>Por sua vez, custos administrativos caíram de 2,2 a 1,1 ponto. Já a parcela referente ao compulsório e a encargos fiscais ficou em 1,1 ponto, contra 1,2 ponto antes.</w:t>
      </w:r>
    </w:p>
    <w:p w:rsidR="007E27FA" w:rsidRDefault="00F05027" w:rsidP="001B420B">
      <w:pPr>
        <w:pStyle w:val="NormalWeb"/>
        <w:shd w:val="clear" w:color="auto" w:fill="FFFFFF"/>
        <w:spacing w:before="0" w:beforeAutospacing="0" w:afterLines="40" w:after="96" w:afterAutospacing="0" w:line="360" w:lineRule="atLeast"/>
        <w:ind w:firstLine="708"/>
        <w:jc w:val="both"/>
      </w:pPr>
      <w:r w:rsidRPr="00B53B9D">
        <w:t>Em nota, o BC afirmou que os números mudaram “em função da atualização e revisão da base de dados”. Questionado por mais detalhes sobre a alteração, a autoridade monetária não respondeu imediatamente.</w:t>
      </w:r>
    </w:p>
    <w:p w:rsidR="001611C4" w:rsidRPr="00B53B9D" w:rsidRDefault="00F05027" w:rsidP="001B420B">
      <w:pPr>
        <w:pStyle w:val="NormalWeb"/>
        <w:shd w:val="clear" w:color="auto" w:fill="FFFFFF"/>
        <w:spacing w:before="0" w:beforeAutospacing="0" w:afterLines="40" w:after="96" w:afterAutospacing="0" w:line="360" w:lineRule="atLeast"/>
        <w:ind w:firstLine="708"/>
        <w:jc w:val="both"/>
      </w:pPr>
      <w:r w:rsidRPr="00B53B9D">
        <w:t>Desde o fim do ano passado, o BC tem divulgado ações no sentido de promover a redução estrutural do custo do crédito, em meio ao cenário de forte recessão da economia, que elevou o desemprego e acertou em cheio a renda das famílias.</w:t>
      </w:r>
    </w:p>
    <w:p w:rsidR="001611C4" w:rsidRDefault="001611C4" w:rsidP="001B420B">
      <w:pPr>
        <w:spacing w:afterLines="40" w:after="96"/>
        <w:rPr>
          <w:rStyle w:val="Hyperlink"/>
          <w:rFonts w:ascii="Times New Roman" w:hAnsi="Times New Roman" w:cs="Times New Roman"/>
          <w:i/>
          <w:sz w:val="24"/>
          <w:szCs w:val="24"/>
        </w:rPr>
      </w:pPr>
      <w:r w:rsidRPr="00B53B9D">
        <w:rPr>
          <w:rFonts w:ascii="Times New Roman" w:hAnsi="Times New Roman" w:cs="Times New Roman"/>
          <w:sz w:val="24"/>
          <w:szCs w:val="24"/>
        </w:rPr>
        <w:t xml:space="preserve">Matéria extraída em: </w:t>
      </w:r>
      <w:hyperlink r:id="rId11" w:history="1">
        <w:r w:rsidRPr="00B53B9D">
          <w:rPr>
            <w:rStyle w:val="Hyperlink"/>
            <w:rFonts w:ascii="Times New Roman" w:hAnsi="Times New Roman" w:cs="Times New Roman"/>
            <w:i/>
            <w:sz w:val="24"/>
            <w:szCs w:val="24"/>
          </w:rPr>
          <w:t>http://exame.abril.com.br/economia/inadimplencia-passa-a-ter-maior-peso-no-spread-bancario-diz-bc/</w:t>
        </w:r>
      </w:hyperlink>
    </w:p>
    <w:p w:rsidR="00531EAC" w:rsidRPr="00B53B9D" w:rsidRDefault="00531EAC" w:rsidP="001B420B">
      <w:pPr>
        <w:spacing w:afterLines="40" w:after="96"/>
        <w:rPr>
          <w:rFonts w:ascii="Times New Roman" w:hAnsi="Times New Roman" w:cs="Times New Roman"/>
          <w:i/>
          <w:sz w:val="24"/>
          <w:szCs w:val="24"/>
        </w:rPr>
      </w:pPr>
    </w:p>
    <w:p w:rsidR="001611C4" w:rsidRDefault="001611C4" w:rsidP="0073168D">
      <w:pPr>
        <w:rPr>
          <w:rFonts w:ascii="Times New Roman" w:hAnsi="Times New Roman" w:cs="Times New Roman"/>
          <w:b/>
          <w:sz w:val="28"/>
          <w:szCs w:val="28"/>
        </w:rPr>
      </w:pPr>
      <w:r w:rsidRPr="0073168D">
        <w:rPr>
          <w:rFonts w:ascii="Times New Roman" w:hAnsi="Times New Roman" w:cs="Times New Roman"/>
        </w:rPr>
        <w:tab/>
      </w:r>
      <w:r w:rsidR="007F6A11">
        <w:rPr>
          <w:rFonts w:ascii="Times New Roman" w:hAnsi="Times New Roman" w:cs="Times New Roman"/>
          <w:b/>
          <w:sz w:val="28"/>
          <w:szCs w:val="28"/>
        </w:rPr>
        <w:t>Questão</w:t>
      </w:r>
    </w:p>
    <w:p w:rsidR="007F6A11" w:rsidRPr="007F6A11" w:rsidRDefault="007F6A11" w:rsidP="007F6A11">
      <w:pPr>
        <w:pStyle w:val="PargrafodaList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A segunda reportagem apresenta a composição do </w:t>
      </w:r>
      <w:r w:rsidRPr="007F6A11">
        <w:rPr>
          <w:rFonts w:ascii="Times New Roman" w:hAnsi="Times New Roman" w:cs="Times New Roman"/>
          <w:i/>
          <w:sz w:val="24"/>
          <w:szCs w:val="24"/>
        </w:rPr>
        <w:t>spread</w:t>
      </w:r>
      <w:r>
        <w:rPr>
          <w:rFonts w:ascii="Times New Roman" w:hAnsi="Times New Roman" w:cs="Times New Roman"/>
          <w:sz w:val="24"/>
          <w:szCs w:val="24"/>
        </w:rPr>
        <w:t xml:space="preserve"> bancário após revisão e atualização dos dados pelo Banco Central. </w:t>
      </w:r>
      <w:r w:rsidR="00531EAC" w:rsidRPr="00531EAC">
        <w:rPr>
          <w:rFonts w:ascii="Times New Roman" w:hAnsi="Times New Roman" w:cs="Times New Roman"/>
          <w:sz w:val="24"/>
          <w:szCs w:val="24"/>
        </w:rPr>
        <w:t xml:space="preserve">Por que o </w:t>
      </w:r>
      <w:r w:rsidR="00531EAC" w:rsidRPr="00531EAC">
        <w:rPr>
          <w:rFonts w:ascii="Times New Roman" w:hAnsi="Times New Roman" w:cs="Times New Roman"/>
          <w:i/>
          <w:sz w:val="24"/>
          <w:szCs w:val="24"/>
        </w:rPr>
        <w:t>spread</w:t>
      </w:r>
      <w:r w:rsidR="00531EAC" w:rsidRPr="00531EAC">
        <w:rPr>
          <w:rFonts w:ascii="Times New Roman" w:hAnsi="Times New Roman" w:cs="Times New Roman"/>
          <w:sz w:val="24"/>
          <w:szCs w:val="24"/>
        </w:rPr>
        <w:t xml:space="preserve"> </w:t>
      </w:r>
      <w:r w:rsidR="00531EAC">
        <w:rPr>
          <w:rFonts w:ascii="Times New Roman" w:hAnsi="Times New Roman" w:cs="Times New Roman"/>
          <w:sz w:val="24"/>
          <w:szCs w:val="24"/>
        </w:rPr>
        <w:t xml:space="preserve">bancário continuou </w:t>
      </w:r>
      <w:r>
        <w:rPr>
          <w:rFonts w:ascii="Times New Roman" w:hAnsi="Times New Roman" w:cs="Times New Roman"/>
          <w:sz w:val="24"/>
          <w:szCs w:val="24"/>
        </w:rPr>
        <w:t xml:space="preserve">praticamente </w:t>
      </w:r>
      <w:r w:rsidR="00531EAC">
        <w:rPr>
          <w:rFonts w:ascii="Times New Roman" w:hAnsi="Times New Roman" w:cs="Times New Roman"/>
          <w:sz w:val="24"/>
          <w:szCs w:val="24"/>
        </w:rPr>
        <w:t>o mesmo apesar da queda da fatia dos lucros dos bancos e as ações do Banco Central para diminuí-lo?</w:t>
      </w:r>
      <w:r>
        <w:rPr>
          <w:rFonts w:ascii="Times New Roman" w:hAnsi="Times New Roman" w:cs="Times New Roman"/>
          <w:sz w:val="24"/>
          <w:szCs w:val="24"/>
        </w:rPr>
        <w:t xml:space="preserve"> </w:t>
      </w:r>
    </w:p>
    <w:p w:rsidR="0016086F" w:rsidRPr="00D51D45" w:rsidRDefault="00664E30" w:rsidP="0073168D">
      <w:pPr>
        <w:pStyle w:val="PargrafodaLista"/>
        <w:numPr>
          <w:ilvl w:val="0"/>
          <w:numId w:val="3"/>
        </w:numPr>
        <w:rPr>
          <w:rFonts w:ascii="Times New Roman" w:hAnsi="Times New Roman" w:cs="Times New Roman"/>
          <w:b/>
          <w:sz w:val="24"/>
          <w:szCs w:val="24"/>
        </w:rPr>
      </w:pPr>
      <w:r w:rsidRPr="007F6A11">
        <w:rPr>
          <w:rFonts w:ascii="Times New Roman" w:hAnsi="Times New Roman" w:cs="Times New Roman"/>
          <w:sz w:val="24"/>
          <w:szCs w:val="24"/>
        </w:rPr>
        <w:t>C</w:t>
      </w:r>
      <w:r w:rsidR="00531EAC" w:rsidRPr="007F6A11">
        <w:rPr>
          <w:rFonts w:ascii="Times New Roman" w:hAnsi="Times New Roman" w:cs="Times New Roman"/>
          <w:sz w:val="24"/>
          <w:szCs w:val="24"/>
        </w:rPr>
        <w:t xml:space="preserve">omo a </w:t>
      </w:r>
      <w:r w:rsidRPr="007F6A11">
        <w:rPr>
          <w:rFonts w:ascii="Times New Roman" w:hAnsi="Times New Roman" w:cs="Times New Roman"/>
          <w:sz w:val="24"/>
          <w:szCs w:val="24"/>
        </w:rPr>
        <w:t>recente crise econômica brasileira</w:t>
      </w:r>
      <w:r w:rsidR="00531EAC" w:rsidRPr="007F6A11">
        <w:rPr>
          <w:rFonts w:ascii="Times New Roman" w:hAnsi="Times New Roman" w:cs="Times New Roman"/>
          <w:sz w:val="24"/>
          <w:szCs w:val="24"/>
        </w:rPr>
        <w:t xml:space="preserve"> pode ter afetado o </w:t>
      </w:r>
      <w:r w:rsidR="00531EAC" w:rsidRPr="007F6A11">
        <w:rPr>
          <w:rFonts w:ascii="Times New Roman" w:hAnsi="Times New Roman" w:cs="Times New Roman"/>
          <w:i/>
          <w:sz w:val="24"/>
          <w:szCs w:val="24"/>
        </w:rPr>
        <w:t>spread</w:t>
      </w:r>
      <w:r w:rsidR="00206B14">
        <w:rPr>
          <w:rFonts w:ascii="Times New Roman" w:hAnsi="Times New Roman" w:cs="Times New Roman"/>
          <w:i/>
          <w:sz w:val="24"/>
          <w:szCs w:val="24"/>
        </w:rPr>
        <w:t xml:space="preserve"> </w:t>
      </w:r>
      <w:r w:rsidR="00206B14">
        <w:rPr>
          <w:rFonts w:ascii="Times New Roman" w:hAnsi="Times New Roman" w:cs="Times New Roman"/>
          <w:sz w:val="24"/>
          <w:szCs w:val="24"/>
        </w:rPr>
        <w:t>nesse período</w:t>
      </w:r>
      <w:r w:rsidR="00531EAC" w:rsidRPr="007F6A11">
        <w:rPr>
          <w:rFonts w:ascii="Times New Roman" w:hAnsi="Times New Roman" w:cs="Times New Roman"/>
          <w:sz w:val="24"/>
          <w:szCs w:val="24"/>
        </w:rPr>
        <w:t>?</w:t>
      </w:r>
      <w:bookmarkStart w:id="0" w:name="_GoBack"/>
      <w:bookmarkEnd w:id="0"/>
    </w:p>
    <w:p w:rsidR="00243806" w:rsidRPr="008510D9" w:rsidRDefault="00243806" w:rsidP="008510D9">
      <w:pPr>
        <w:ind w:firstLine="708"/>
        <w:rPr>
          <w:rFonts w:ascii="Times New Roman" w:hAnsi="Times New Roman" w:cs="Times New Roman"/>
          <w:sz w:val="24"/>
          <w:szCs w:val="24"/>
        </w:rPr>
      </w:pPr>
    </w:p>
    <w:sectPr w:rsidR="00243806" w:rsidRPr="008510D9" w:rsidSect="00B738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D0" w:rsidRDefault="009269D0" w:rsidP="002429B3">
      <w:pPr>
        <w:spacing w:after="0" w:line="240" w:lineRule="auto"/>
      </w:pPr>
      <w:r>
        <w:separator/>
      </w:r>
    </w:p>
  </w:endnote>
  <w:endnote w:type="continuationSeparator" w:id="0">
    <w:p w:rsidR="009269D0" w:rsidRDefault="009269D0" w:rsidP="0024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D0" w:rsidRDefault="009269D0" w:rsidP="002429B3">
      <w:pPr>
        <w:spacing w:after="0" w:line="240" w:lineRule="auto"/>
      </w:pPr>
      <w:r>
        <w:separator/>
      </w:r>
    </w:p>
  </w:footnote>
  <w:footnote w:type="continuationSeparator" w:id="0">
    <w:p w:rsidR="009269D0" w:rsidRDefault="009269D0" w:rsidP="002429B3">
      <w:pPr>
        <w:spacing w:after="0" w:line="240" w:lineRule="auto"/>
      </w:pPr>
      <w:r>
        <w:continuationSeparator/>
      </w:r>
    </w:p>
  </w:footnote>
  <w:footnote w:id="1">
    <w:p w:rsidR="002429B3" w:rsidRPr="002429B3" w:rsidRDefault="002429B3">
      <w:pPr>
        <w:pStyle w:val="Textodenotaderodap"/>
      </w:pPr>
      <w:r>
        <w:rPr>
          <w:rStyle w:val="Refdenotaderodap"/>
        </w:rPr>
        <w:footnoteRef/>
      </w:r>
      <w:r>
        <w:t xml:space="preserve"> </w:t>
      </w:r>
      <w:r w:rsidRPr="002429B3">
        <w:t>Assaf Neto</w:t>
      </w:r>
      <w:r>
        <w:t xml:space="preserve">, Alexandre. </w:t>
      </w:r>
      <w:r w:rsidRPr="002429B3">
        <w:rPr>
          <w:i/>
        </w:rPr>
        <w:t>Mercado Financeiro</w:t>
      </w:r>
      <w:r>
        <w:rPr>
          <w:i/>
        </w:rPr>
        <w:t xml:space="preserve">. </w:t>
      </w:r>
      <w:r>
        <w:t>12. ed. São Paulo: Atlas,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F2B7F"/>
    <w:multiLevelType w:val="hybridMultilevel"/>
    <w:tmpl w:val="895CF5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6A0A0D"/>
    <w:multiLevelType w:val="hybridMultilevel"/>
    <w:tmpl w:val="149CE35A"/>
    <w:lvl w:ilvl="0" w:tplc="BC6C0624">
      <w:numFmt w:val="bullet"/>
      <w:lvlText w:val=""/>
      <w:lvlJc w:val="left"/>
      <w:pPr>
        <w:ind w:left="1069" w:hanging="360"/>
      </w:pPr>
      <w:rPr>
        <w:rFonts w:ascii="Wingdings" w:eastAsiaTheme="minorHAnsi" w:hAnsi="Wingdings"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7A4862E6"/>
    <w:multiLevelType w:val="hybridMultilevel"/>
    <w:tmpl w:val="A6EEA658"/>
    <w:lvl w:ilvl="0" w:tplc="C192857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EB"/>
    <w:rsid w:val="00014C59"/>
    <w:rsid w:val="00020C07"/>
    <w:rsid w:val="00042C35"/>
    <w:rsid w:val="000C744B"/>
    <w:rsid w:val="000D1C95"/>
    <w:rsid w:val="00117993"/>
    <w:rsid w:val="00132560"/>
    <w:rsid w:val="0016086F"/>
    <w:rsid w:val="001611C4"/>
    <w:rsid w:val="00191C5C"/>
    <w:rsid w:val="001B420B"/>
    <w:rsid w:val="00206B14"/>
    <w:rsid w:val="002429B3"/>
    <w:rsid w:val="00243806"/>
    <w:rsid w:val="0027077F"/>
    <w:rsid w:val="002A161C"/>
    <w:rsid w:val="002A20FA"/>
    <w:rsid w:val="002A7AE8"/>
    <w:rsid w:val="00300418"/>
    <w:rsid w:val="003211A3"/>
    <w:rsid w:val="00360D5D"/>
    <w:rsid w:val="00402521"/>
    <w:rsid w:val="00443FE0"/>
    <w:rsid w:val="004A3D86"/>
    <w:rsid w:val="00531EAC"/>
    <w:rsid w:val="005360A6"/>
    <w:rsid w:val="00584767"/>
    <w:rsid w:val="005A40C5"/>
    <w:rsid w:val="005C1E07"/>
    <w:rsid w:val="00664E30"/>
    <w:rsid w:val="0066695F"/>
    <w:rsid w:val="006706FE"/>
    <w:rsid w:val="006A3B97"/>
    <w:rsid w:val="006E2D5C"/>
    <w:rsid w:val="0073168D"/>
    <w:rsid w:val="007712EB"/>
    <w:rsid w:val="007E109D"/>
    <w:rsid w:val="007E27FA"/>
    <w:rsid w:val="007F6A11"/>
    <w:rsid w:val="008510D9"/>
    <w:rsid w:val="00863E5A"/>
    <w:rsid w:val="00870565"/>
    <w:rsid w:val="00882E5E"/>
    <w:rsid w:val="008A54A2"/>
    <w:rsid w:val="008C5B6E"/>
    <w:rsid w:val="00921944"/>
    <w:rsid w:val="0092203D"/>
    <w:rsid w:val="0092687E"/>
    <w:rsid w:val="009269D0"/>
    <w:rsid w:val="0097413A"/>
    <w:rsid w:val="009E0248"/>
    <w:rsid w:val="00B53B9D"/>
    <w:rsid w:val="00B556F5"/>
    <w:rsid w:val="00B7389B"/>
    <w:rsid w:val="00C6224B"/>
    <w:rsid w:val="00CC778A"/>
    <w:rsid w:val="00D333FD"/>
    <w:rsid w:val="00D51D45"/>
    <w:rsid w:val="00DA42FF"/>
    <w:rsid w:val="00DE0DEB"/>
    <w:rsid w:val="00E549CC"/>
    <w:rsid w:val="00E678F0"/>
    <w:rsid w:val="00E90C2C"/>
    <w:rsid w:val="00F05027"/>
    <w:rsid w:val="00F3356C"/>
    <w:rsid w:val="00F36403"/>
    <w:rsid w:val="00FA4C0D"/>
    <w:rsid w:val="00FD3E59"/>
    <w:rsid w:val="00FE2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5AF7D-6846-4DAE-9EA0-8E27384B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12EB"/>
    <w:pPr>
      <w:ind w:left="720"/>
      <w:contextualSpacing/>
    </w:pPr>
  </w:style>
  <w:style w:type="paragraph" w:styleId="Textodenotaderodap">
    <w:name w:val="footnote text"/>
    <w:basedOn w:val="Normal"/>
    <w:link w:val="TextodenotaderodapChar"/>
    <w:uiPriority w:val="99"/>
    <w:semiHidden/>
    <w:unhideWhenUsed/>
    <w:rsid w:val="002429B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429B3"/>
    <w:rPr>
      <w:sz w:val="20"/>
      <w:szCs w:val="20"/>
    </w:rPr>
  </w:style>
  <w:style w:type="character" w:styleId="Refdenotaderodap">
    <w:name w:val="footnote reference"/>
    <w:basedOn w:val="Fontepargpadro"/>
    <w:uiPriority w:val="99"/>
    <w:semiHidden/>
    <w:unhideWhenUsed/>
    <w:rsid w:val="002429B3"/>
    <w:rPr>
      <w:vertAlign w:val="superscript"/>
    </w:rPr>
  </w:style>
  <w:style w:type="character" w:customStyle="1" w:styleId="apple-converted-space">
    <w:name w:val="apple-converted-space"/>
    <w:basedOn w:val="Fontepargpadro"/>
    <w:rsid w:val="005360A6"/>
  </w:style>
  <w:style w:type="paragraph" w:styleId="NormalWeb">
    <w:name w:val="Normal (Web)"/>
    <w:basedOn w:val="Normal"/>
    <w:uiPriority w:val="99"/>
    <w:unhideWhenUsed/>
    <w:rsid w:val="00F0502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05027"/>
    <w:rPr>
      <w:b/>
      <w:bCs/>
    </w:rPr>
  </w:style>
  <w:style w:type="character" w:styleId="Hyperlink">
    <w:name w:val="Hyperlink"/>
    <w:basedOn w:val="Fontepargpadro"/>
    <w:uiPriority w:val="99"/>
    <w:unhideWhenUsed/>
    <w:rsid w:val="00F05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7201">
      <w:bodyDiv w:val="1"/>
      <w:marLeft w:val="0"/>
      <w:marRight w:val="0"/>
      <w:marTop w:val="0"/>
      <w:marBottom w:val="0"/>
      <w:divBdr>
        <w:top w:val="none" w:sz="0" w:space="0" w:color="auto"/>
        <w:left w:val="none" w:sz="0" w:space="0" w:color="auto"/>
        <w:bottom w:val="none" w:sz="0" w:space="0" w:color="auto"/>
        <w:right w:val="none" w:sz="0" w:space="0" w:color="auto"/>
      </w:divBdr>
    </w:div>
    <w:div w:id="1365595730">
      <w:bodyDiv w:val="1"/>
      <w:marLeft w:val="0"/>
      <w:marRight w:val="0"/>
      <w:marTop w:val="0"/>
      <w:marBottom w:val="0"/>
      <w:divBdr>
        <w:top w:val="none" w:sz="0" w:space="0" w:color="auto"/>
        <w:left w:val="none" w:sz="0" w:space="0" w:color="auto"/>
        <w:bottom w:val="none" w:sz="0" w:space="0" w:color="auto"/>
        <w:right w:val="none" w:sz="0" w:space="0" w:color="auto"/>
      </w:divBdr>
      <w:divsChild>
        <w:div w:id="566458032">
          <w:marLeft w:val="0"/>
          <w:marRight w:val="0"/>
          <w:marTop w:val="0"/>
          <w:marBottom w:val="75"/>
          <w:divBdr>
            <w:top w:val="none" w:sz="0" w:space="0" w:color="auto"/>
            <w:left w:val="none" w:sz="0" w:space="0" w:color="auto"/>
            <w:bottom w:val="none" w:sz="0" w:space="0" w:color="auto"/>
            <w:right w:val="none" w:sz="0" w:space="0" w:color="auto"/>
          </w:divBdr>
        </w:div>
        <w:div w:id="1993368702">
          <w:marLeft w:val="0"/>
          <w:marRight w:val="0"/>
          <w:marTop w:val="0"/>
          <w:marBottom w:val="240"/>
          <w:divBdr>
            <w:top w:val="none" w:sz="0" w:space="0" w:color="auto"/>
            <w:left w:val="none" w:sz="0" w:space="0" w:color="auto"/>
            <w:bottom w:val="none" w:sz="0" w:space="0" w:color="auto"/>
            <w:right w:val="none" w:sz="0" w:space="0" w:color="auto"/>
          </w:divBdr>
        </w:div>
      </w:divsChild>
    </w:div>
    <w:div w:id="18333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or.com.br/financas/4862016/composicao-do-spread-varia-de-acordo-com-funding-diz-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ame.abril.com.br/economia/inadimplencia-passa-a-ter-maior-peso-no-spread-bancario-diz-bc/" TargetMode="External"/><Relationship Id="rId5" Type="http://schemas.openxmlformats.org/officeDocument/2006/relationships/webSettings" Target="webSettings.xml"/><Relationship Id="rId10" Type="http://schemas.openxmlformats.org/officeDocument/2006/relationships/hyperlink" Target="http://exame.abril.com.br/noticias-sobre/inadimplencia" TargetMode="External"/><Relationship Id="rId4" Type="http://schemas.openxmlformats.org/officeDocument/2006/relationships/settings" Target="settings.xml"/><Relationship Id="rId9" Type="http://schemas.openxmlformats.org/officeDocument/2006/relationships/hyperlink" Target="http://exame.abril.com.br/noticias-sobre/banco-centr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53E8-DDFD-4B23-AE01-07625788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2</Pages>
  <Words>695</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Malá</dc:creator>
  <cp:keywords/>
  <dc:description/>
  <cp:lastModifiedBy>Vinícius Belotti Gonzaga</cp:lastModifiedBy>
  <cp:revision>6</cp:revision>
  <dcterms:created xsi:type="dcterms:W3CDTF">2017-04-25T15:34:00Z</dcterms:created>
  <dcterms:modified xsi:type="dcterms:W3CDTF">2017-04-26T18:28:00Z</dcterms:modified>
</cp:coreProperties>
</file>