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FLP0203 - Política III - Teoria Política Moderna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Trabalho Escrito 1 - Montesquieu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Considere os trechos a seguir, retirados de “O Espírito das Leis”: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"Dissemos que as leis eram instituições particulares e precisas do legislador; e os costumes e os modos, instituições da nação em geral.” (p. 322)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"Não é suficiente ter tratado da liberdade política em sua relação com a constituição, ela deve ser mostrada em sua relação com o cidadão. (...) No primeiro caso, ela é formada por certa distribuição dos três poderes; mas, no segundo, deve ser considerada sob outra ideia." (p. 197)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"Como, para gozar da liberdade, é preciso que cada qual possa dizer o que pensa, e, para conservá-la, é também preciso que cada qual possa dizer o que pensa, um cidadão, neste Estado, diria e escreveria tudo o que as leis não lhe proibissem expressamente dizer ou escrever." (p. 334)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"Numa nação livre, muitas vezes é indiferente que os particulares raciocinem bem ou mal; é suficiente que raciocinem. (...) Da mesma forma, no governo despótico, é igualmente pernicioso que se raciocine bem ou mal; é suficiente que se raciocine para que o princípio do governo seja contrariado." (p. 339)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Tendo em vista sua leitura atenta dos tópicos elencados nas aulas 2 e 3, e de sua relação com os trechos acima citados, discuta as seguintes questões: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Como as leis podem contribuir para formar os costumes, as maneiras e o caráter de um “povo livre”? Frente a essas possibilidades, qual deve ser a postura do legislador frente às diferenças entre leis, costumes e maneiras? Não deixe de recapitular também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brevemente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o que o autor entende por um povo livre, em relação ao Estado e constituição e aos seus próprios cidadãos.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Observações: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(i) A redação deve ser sucinta e restrita às questões acima, contendo a extensão que julgar necessária para abarcá-las,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não excedendo 4 páginas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Para as normas de citação e redação acadêmica, consultar: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http://dcp.fflch.usp.br/images/DCP/pdf/graduacao/Instrucoes_para_redacao_academica.pdf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 acesse: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http://dcp.fflch.usp.br/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&gt; Graduação &gt;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rtl w:val="0"/>
          </w:rPr>
          <w:t xml:space="preserve">Instruções para redação acadêmica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dcp.fflch.usp.br/images/DCP/pdf/graduacao/Instrucoes_para_redacao_academica.pdf" TargetMode="External"/><Relationship Id="rId6" Type="http://schemas.openxmlformats.org/officeDocument/2006/relationships/hyperlink" Target="http://dcp.fflch.usp.br/" TargetMode="External"/><Relationship Id="rId7" Type="http://schemas.openxmlformats.org/officeDocument/2006/relationships/hyperlink" Target="http://dcp.fflch.usp.br/images/DCP/pdf/graduacao/Instrucoes_para_redacao_academica.pdf" TargetMode="External"/></Relationships>
</file>