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A51" w:rsidRDefault="004D2A51" w:rsidP="004B4F0E">
      <w:pPr>
        <w:jc w:val="center"/>
        <w:rPr>
          <w:rFonts w:asciiTheme="majorHAnsi" w:hAnsiTheme="majorHAnsi" w:cstheme="majorHAnsi"/>
          <w:b/>
          <w:color w:val="666666"/>
          <w:sz w:val="32"/>
          <w:szCs w:val="28"/>
        </w:rPr>
      </w:pPr>
      <w:r w:rsidRPr="004D2A51">
        <w:rPr>
          <w:rFonts w:asciiTheme="majorHAnsi" w:hAnsiTheme="majorHAnsi" w:cstheme="majorHAnsi"/>
          <w:b/>
          <w:color w:val="666666"/>
          <w:sz w:val="32"/>
          <w:szCs w:val="28"/>
        </w:rPr>
        <w:t>Queda da Selic re</w:t>
      </w:r>
      <w:r w:rsidR="004B4F0E">
        <w:rPr>
          <w:rFonts w:asciiTheme="majorHAnsi" w:hAnsiTheme="majorHAnsi" w:cstheme="majorHAnsi"/>
          <w:b/>
          <w:color w:val="666666"/>
          <w:sz w:val="32"/>
          <w:szCs w:val="28"/>
        </w:rPr>
        <w:t>duz em R$ 20 bi subsídio à TJLP</w:t>
      </w:r>
    </w:p>
    <w:p w:rsidR="001A6132" w:rsidRPr="00770F5E" w:rsidRDefault="00770F5E" w:rsidP="00770F5E">
      <w:pPr>
        <w:jc w:val="right"/>
        <w:rPr>
          <w:rFonts w:asciiTheme="majorHAnsi" w:hAnsiTheme="majorHAnsi" w:cstheme="majorHAnsi"/>
          <w:b/>
          <w:color w:val="666666"/>
          <w:szCs w:val="28"/>
        </w:rPr>
      </w:pPr>
      <w:r w:rsidRPr="00770F5E">
        <w:rPr>
          <w:rFonts w:asciiTheme="majorHAnsi" w:hAnsiTheme="majorHAnsi" w:cstheme="majorHAnsi"/>
          <w:b/>
          <w:color w:val="666666"/>
          <w:szCs w:val="28"/>
        </w:rPr>
        <w:t>05/04/2017</w:t>
      </w:r>
    </w:p>
    <w:p w:rsidR="00B07AA0" w:rsidRPr="004B4F0E" w:rsidRDefault="004D2A51">
      <w:pPr>
        <w:rPr>
          <w:rFonts w:asciiTheme="majorHAnsi" w:hAnsiTheme="majorHAnsi" w:cstheme="majorHAnsi"/>
          <w:color w:val="666666"/>
          <w:sz w:val="24"/>
          <w:szCs w:val="28"/>
        </w:rPr>
      </w:pPr>
      <w:r w:rsidRPr="004B4F0E">
        <w:rPr>
          <w:rFonts w:asciiTheme="majorHAnsi" w:hAnsiTheme="majorHAnsi" w:cstheme="majorHAnsi"/>
          <w:color w:val="666666"/>
          <w:sz w:val="24"/>
          <w:szCs w:val="28"/>
        </w:rPr>
        <w:t xml:space="preserve">Apesar de a redução da Taxa de Juros de Longo Prazo (TJLP) na semana passada - de 7,5% para 7% ao ano - representar, em um primeiro momento, um aumento das despesas para o governo, a queda esperada da taxa Selic neste ano deve contribuir para reduzir o diferencial de juros e, consequentemente, do subsídio implícito nessas operações. </w:t>
      </w:r>
    </w:p>
    <w:p w:rsidR="00B07AA0" w:rsidRPr="004B4F0E" w:rsidRDefault="004D2A51">
      <w:pPr>
        <w:rPr>
          <w:rFonts w:asciiTheme="majorHAnsi" w:hAnsiTheme="majorHAnsi" w:cstheme="majorHAnsi"/>
          <w:color w:val="666666"/>
          <w:sz w:val="24"/>
          <w:szCs w:val="28"/>
        </w:rPr>
      </w:pPr>
      <w:r w:rsidRPr="004B4F0E">
        <w:rPr>
          <w:rFonts w:asciiTheme="majorHAnsi" w:hAnsiTheme="majorHAnsi" w:cstheme="majorHAnsi"/>
          <w:color w:val="666666"/>
          <w:sz w:val="24"/>
          <w:szCs w:val="28"/>
        </w:rPr>
        <w:t>Estudo realiza</w:t>
      </w:r>
      <w:r w:rsidR="00B07AA0" w:rsidRPr="004B4F0E">
        <w:rPr>
          <w:rFonts w:asciiTheme="majorHAnsi" w:hAnsiTheme="majorHAnsi" w:cstheme="majorHAnsi"/>
          <w:color w:val="666666"/>
          <w:sz w:val="24"/>
          <w:szCs w:val="28"/>
        </w:rPr>
        <w:t>do pelo Departamento Econômico do banco Santander sobre o impacto da mudança da TJLP para as empresas estima que a cada ponto percentual de redução da diferença entre a taxa Selic e a TJLP há uma economia de R$ 5 bilhões por ano nos subsídios implícitos, considerando um estoque de cerca de R$ 500 bilhões de financiamento concedido pelo BNDES atrelado à TJLP.</w:t>
      </w:r>
    </w:p>
    <w:p w:rsidR="004D2A51" w:rsidRPr="004B4F0E" w:rsidRDefault="004D2A51" w:rsidP="004D2A51">
      <w:pPr>
        <w:rPr>
          <w:rFonts w:asciiTheme="majorHAnsi" w:hAnsiTheme="majorHAnsi" w:cstheme="majorHAnsi"/>
          <w:color w:val="666666"/>
          <w:sz w:val="24"/>
          <w:szCs w:val="28"/>
        </w:rPr>
      </w:pPr>
      <w:r w:rsidRPr="004B4F0E">
        <w:rPr>
          <w:rFonts w:asciiTheme="majorHAnsi" w:hAnsiTheme="majorHAnsi" w:cstheme="majorHAnsi"/>
          <w:color w:val="666666"/>
          <w:sz w:val="24"/>
          <w:szCs w:val="28"/>
        </w:rPr>
        <w:t>Parte dos títulos emitidos pelo Tesouro Nacional para financiar os empréstimos subsidiados concedidos pelo BNDES está atrelada à Selic. Considerando a queda projetada da Selic média no boletim Focus, de 14% em 2016 para 10,38% no fim de 2017, e o recuo da TJLP média de 7,5% no ano passado para 7,125% neste ano, a economia do governo em subsídios neste ano seria da ordem de R$ 20 bilhões, estima o Santander. Os subsídios ao BNDES entram na conta de juros da dívida pública líquida e não afetam o déficit primário, apenas o nominal.</w:t>
      </w:r>
    </w:p>
    <w:p w:rsidR="004B4F0E" w:rsidRPr="004B4F0E" w:rsidRDefault="004D2A51" w:rsidP="004D2A51">
      <w:pPr>
        <w:rPr>
          <w:rFonts w:asciiTheme="majorHAnsi" w:hAnsiTheme="majorHAnsi" w:cstheme="majorHAnsi"/>
          <w:color w:val="666666"/>
          <w:sz w:val="24"/>
          <w:szCs w:val="28"/>
        </w:rPr>
      </w:pPr>
      <w:r w:rsidRPr="004B4F0E">
        <w:rPr>
          <w:rFonts w:asciiTheme="majorHAnsi" w:hAnsiTheme="majorHAnsi" w:cstheme="majorHAnsi"/>
          <w:color w:val="666666"/>
          <w:sz w:val="24"/>
          <w:szCs w:val="28"/>
        </w:rPr>
        <w:t>A cada trimestre o Conselho Monetário Nacional (CMN) reavalia a TJLP. A taxa Selic, hoje em 12,25%, é definida pelo Comitê de Política Monetária (Copom). A partir de janeiro de 2018, a TJLP deve ser substituída pela Taxa de Longo Prazo (TLP), que passará a indexar as novas operações de empréstimos.</w:t>
      </w:r>
      <w:r w:rsidRPr="004B4F0E">
        <w:rPr>
          <w:rFonts w:asciiTheme="majorHAnsi" w:hAnsiTheme="majorHAnsi" w:cstheme="majorHAnsi"/>
          <w:color w:val="666666"/>
          <w:sz w:val="24"/>
          <w:szCs w:val="28"/>
        </w:rPr>
        <w:br/>
        <w:t xml:space="preserve">A TLP deverá convergir gradualmente, no prazo de cinco anos, para a remuneração integral da NTN-B, passando a usar a taxa prefixada desse título mais a variação do IPCA. Assim, ao longo </w:t>
      </w:r>
      <w:r w:rsidR="004B4F0E" w:rsidRPr="004B4F0E">
        <w:rPr>
          <w:rFonts w:asciiTheme="majorHAnsi" w:hAnsiTheme="majorHAnsi" w:cstheme="majorHAnsi"/>
          <w:color w:val="666666"/>
          <w:sz w:val="24"/>
          <w:szCs w:val="28"/>
        </w:rPr>
        <w:t>dos próximos</w:t>
      </w:r>
      <w:r w:rsidRPr="004B4F0E">
        <w:rPr>
          <w:rFonts w:asciiTheme="majorHAnsi" w:hAnsiTheme="majorHAnsi" w:cstheme="majorHAnsi"/>
          <w:color w:val="666666"/>
          <w:sz w:val="24"/>
          <w:szCs w:val="28"/>
        </w:rPr>
        <w:t xml:space="preserve"> cinco anos, e conforme o estoque de empréstimos do BNDES atrelado à TJLP for caindo, o custo fiscal c</w:t>
      </w:r>
      <w:r w:rsidR="004B4F0E">
        <w:rPr>
          <w:rFonts w:asciiTheme="majorHAnsi" w:hAnsiTheme="majorHAnsi" w:cstheme="majorHAnsi"/>
          <w:color w:val="666666"/>
          <w:sz w:val="24"/>
          <w:szCs w:val="28"/>
        </w:rPr>
        <w:t>om esse subsídio tende a zero.</w:t>
      </w:r>
    </w:p>
    <w:p w:rsidR="004B4F0E" w:rsidRDefault="004D2A51" w:rsidP="004B4F0E">
      <w:pPr>
        <w:spacing w:line="240" w:lineRule="auto"/>
        <w:rPr>
          <w:rFonts w:asciiTheme="majorHAnsi" w:hAnsiTheme="majorHAnsi" w:cstheme="majorHAnsi"/>
          <w:color w:val="666666"/>
          <w:sz w:val="24"/>
          <w:szCs w:val="28"/>
        </w:rPr>
      </w:pPr>
      <w:r w:rsidRPr="004B4F0E">
        <w:rPr>
          <w:rFonts w:asciiTheme="majorHAnsi" w:hAnsiTheme="majorHAnsi" w:cstheme="majorHAnsi"/>
          <w:color w:val="666666"/>
          <w:sz w:val="24"/>
          <w:szCs w:val="28"/>
        </w:rPr>
        <w:t>No mesmo relatório, o banco Santander levantou quais devem ser os setores mais beneficiados e afetados pelo corte em meio ponto percentual, de 7,5% para 7%, na TJLP. Segundo o apontamento da instituição, os segmentos de transportes, papel e celulose, siderúrgicas e telecomunicações devem ter impacto positivo no lucro líquido de 2017, para transportes, cuja última linha de balanço deve ter ganho de 2%.</w:t>
      </w:r>
      <w:r w:rsidRPr="004B4F0E">
        <w:rPr>
          <w:rFonts w:asciiTheme="majorHAnsi" w:hAnsiTheme="majorHAnsi" w:cstheme="majorHAnsi"/>
          <w:color w:val="666666"/>
          <w:sz w:val="24"/>
          <w:szCs w:val="28"/>
        </w:rPr>
        <w:br/>
      </w:r>
      <w:r w:rsidRPr="004B4F0E">
        <w:rPr>
          <w:rFonts w:asciiTheme="majorHAnsi" w:hAnsiTheme="majorHAnsi" w:cstheme="majorHAnsi"/>
          <w:color w:val="666666"/>
          <w:sz w:val="24"/>
          <w:szCs w:val="28"/>
        </w:rPr>
        <w:br/>
        <w:t>Entre as companhias, o benefício deve ser de 15,4% no lucro líquido da Rumo Logística, de 7,4% da Renova Energia, de 4,1% para Klabin e de 2,3% para Randon.</w:t>
      </w:r>
    </w:p>
    <w:p w:rsidR="004B4F0E" w:rsidRDefault="004D2A51" w:rsidP="004B4F0E">
      <w:pPr>
        <w:spacing w:line="240" w:lineRule="auto"/>
        <w:rPr>
          <w:rFonts w:asciiTheme="majorHAnsi" w:hAnsiTheme="majorHAnsi" w:cstheme="majorHAnsi"/>
          <w:color w:val="666666"/>
          <w:sz w:val="24"/>
          <w:szCs w:val="28"/>
        </w:rPr>
      </w:pPr>
      <w:r w:rsidRPr="004B4F0E">
        <w:rPr>
          <w:rFonts w:asciiTheme="majorHAnsi" w:hAnsiTheme="majorHAnsi" w:cstheme="majorHAnsi"/>
          <w:color w:val="666666"/>
          <w:sz w:val="24"/>
          <w:szCs w:val="28"/>
        </w:rPr>
        <w:br/>
        <w:t>No entanto, as companhias que usam a taxa como compensação fiscal devem ter seus ganhos ligeiramente afetados, com destaque para mineração, bancos e saúde. Nesta outra ponta, o impacto negativo maior sobre o lucro de 2017, de acordo com o relatório, deve atingir empresas como Totvs, com 1,5%; EcoRodovias, com redução de 1,4%; Comgás, com 1,3%; e Vale, com contração de 1,2%</w:t>
      </w:r>
      <w:r w:rsidRPr="004B4F0E">
        <w:rPr>
          <w:rFonts w:asciiTheme="majorHAnsi" w:hAnsiTheme="majorHAnsi" w:cstheme="majorHAnsi"/>
          <w:color w:val="666666"/>
          <w:sz w:val="24"/>
          <w:szCs w:val="28"/>
        </w:rPr>
        <w:br/>
      </w:r>
      <w:r w:rsidRPr="004B4F0E">
        <w:rPr>
          <w:rFonts w:asciiTheme="majorHAnsi" w:hAnsiTheme="majorHAnsi" w:cstheme="majorHAnsi"/>
          <w:color w:val="666666"/>
          <w:sz w:val="24"/>
          <w:szCs w:val="28"/>
        </w:rPr>
        <w:lastRenderedPageBreak/>
        <w:br/>
      </w:r>
    </w:p>
    <w:p w:rsidR="004D2A51" w:rsidRPr="004B4F0E" w:rsidRDefault="004D2A51" w:rsidP="004B4F0E">
      <w:pPr>
        <w:spacing w:line="240" w:lineRule="auto"/>
        <w:rPr>
          <w:rFonts w:asciiTheme="majorHAnsi" w:hAnsiTheme="majorHAnsi" w:cstheme="majorHAnsi"/>
          <w:color w:val="666666"/>
          <w:sz w:val="24"/>
          <w:szCs w:val="28"/>
        </w:rPr>
      </w:pPr>
      <w:r w:rsidRPr="004B4F0E">
        <w:rPr>
          <w:rFonts w:asciiTheme="majorHAnsi" w:hAnsiTheme="majorHAnsi" w:cstheme="majorHAnsi"/>
          <w:color w:val="666666"/>
          <w:sz w:val="24"/>
          <w:szCs w:val="28"/>
        </w:rPr>
        <w:t xml:space="preserve">O ministro da Fazenda, Henrique Meirelles, destacou ontem, em evento promovido pelo Bradesco, a mudança na TJLP, que passa a chamar TLP a partir de janeiro e, em um processo de convergência de cinco anos, ficará mais próxima das taxas de mercado. "O objetivo foi queda da taxa de juros estrutural, porque diminuiu </w:t>
      </w:r>
      <w:r w:rsidR="001A6132">
        <w:rPr>
          <w:rFonts w:asciiTheme="majorHAnsi" w:hAnsiTheme="majorHAnsi" w:cstheme="majorHAnsi"/>
          <w:color w:val="666666"/>
          <w:sz w:val="24"/>
          <w:szCs w:val="28"/>
        </w:rPr>
        <w:t>tamanho do Estado na economia"</w:t>
      </w:r>
      <w:r w:rsidR="001A6132">
        <w:rPr>
          <w:rFonts w:asciiTheme="majorHAnsi" w:hAnsiTheme="majorHAnsi" w:cstheme="majorHAnsi"/>
          <w:color w:val="666666"/>
          <w:sz w:val="24"/>
          <w:szCs w:val="28"/>
        </w:rPr>
        <w:br/>
      </w:r>
    </w:p>
    <w:p w:rsidR="004B4F0E" w:rsidRPr="001A6132" w:rsidRDefault="004D2A51" w:rsidP="00B07AA0">
      <w:pPr>
        <w:rPr>
          <w:rFonts w:asciiTheme="majorHAnsi" w:hAnsiTheme="majorHAnsi" w:cstheme="majorHAnsi"/>
          <w:color w:val="666666"/>
          <w:sz w:val="24"/>
          <w:szCs w:val="28"/>
        </w:rPr>
      </w:pPr>
      <w:r w:rsidRPr="004B4F0E">
        <w:rPr>
          <w:rFonts w:asciiTheme="majorHAnsi" w:hAnsiTheme="majorHAnsi" w:cstheme="majorHAnsi"/>
          <w:color w:val="666666"/>
          <w:sz w:val="24"/>
          <w:szCs w:val="28"/>
        </w:rPr>
        <w:t>Segundo Meirelles, o esforço de redução do tamanho do Estado como consumidor de recursos na economia e as reformas microeconômicas em curso e em planejamento elevarão o crescimento potencial do país dos atuais 1,3% para algo "acima de 3,5% ou até próximo de 4%" no médio prazo.</w:t>
      </w:r>
      <w:r w:rsidRPr="004B4F0E">
        <w:rPr>
          <w:rFonts w:asciiTheme="majorHAnsi" w:hAnsiTheme="majorHAnsi" w:cstheme="majorHAnsi"/>
          <w:color w:val="666666"/>
          <w:sz w:val="24"/>
          <w:szCs w:val="28"/>
        </w:rPr>
        <w:br/>
      </w:r>
      <w:r w:rsidRPr="004B4F0E">
        <w:rPr>
          <w:rFonts w:asciiTheme="majorHAnsi" w:hAnsiTheme="majorHAnsi" w:cstheme="majorHAnsi"/>
          <w:color w:val="666666"/>
          <w:sz w:val="24"/>
          <w:szCs w:val="28"/>
        </w:rPr>
        <w:br/>
        <w:t>Entre as medidas microeconômicas que promoveriam maior desburocratização do ambiente de negócios no país, Meirelles citou o cadastro positivo de tomadores crédito, o portal único de comércio exterior e a nova lei de falências, além da lei que regulamenta a terceirização e a proposta de reforma trabalhista, que tramita no Congresso.</w:t>
      </w:r>
      <w:r w:rsidR="004B4F0E" w:rsidRPr="004B4F0E">
        <w:rPr>
          <w:rFonts w:ascii="Georgia" w:hAnsi="Georgia"/>
          <w:color w:val="666666"/>
          <w:sz w:val="18"/>
          <w:szCs w:val="20"/>
        </w:rPr>
        <w:br/>
      </w:r>
      <w:r w:rsidR="004B4F0E" w:rsidRPr="004B4F0E">
        <w:rPr>
          <w:rFonts w:asciiTheme="majorHAnsi" w:hAnsiTheme="majorHAnsi" w:cstheme="majorHAnsi"/>
          <w:color w:val="666666"/>
          <w:sz w:val="24"/>
          <w:szCs w:val="28"/>
        </w:rPr>
        <w:t xml:space="preserve">(Colaboraram Camilla Veras Mota </w:t>
      </w:r>
      <w:r w:rsidR="001A6132">
        <w:rPr>
          <w:rFonts w:asciiTheme="majorHAnsi" w:hAnsiTheme="majorHAnsi" w:cstheme="majorHAnsi"/>
          <w:color w:val="666666"/>
          <w:sz w:val="24"/>
          <w:szCs w:val="28"/>
        </w:rPr>
        <w:t>e Luciano Máximo, de São Paulo)</w:t>
      </w:r>
    </w:p>
    <w:p w:rsidR="001A6132" w:rsidRPr="00C83444" w:rsidRDefault="004B4F0E" w:rsidP="001A6132">
      <w:pPr>
        <w:rPr>
          <w:rFonts w:asciiTheme="majorHAnsi" w:hAnsiTheme="majorHAnsi" w:cstheme="majorHAnsi"/>
          <w:color w:val="666666"/>
          <w:sz w:val="24"/>
          <w:szCs w:val="28"/>
        </w:rPr>
      </w:pPr>
      <w:r w:rsidRPr="004B4F0E">
        <w:rPr>
          <w:rFonts w:asciiTheme="majorHAnsi" w:hAnsiTheme="majorHAnsi" w:cstheme="majorHAnsi"/>
          <w:color w:val="666666"/>
          <w:sz w:val="24"/>
          <w:szCs w:val="28"/>
        </w:rPr>
        <w:t>Fonte:</w:t>
      </w:r>
      <w:hyperlink r:id="rId4" w:history="1">
        <w:r w:rsidRPr="004B4F0E">
          <w:rPr>
            <w:rStyle w:val="Hyperlink"/>
            <w:rFonts w:asciiTheme="majorHAnsi" w:hAnsiTheme="majorHAnsi" w:cstheme="majorHAnsi"/>
            <w:sz w:val="24"/>
            <w:szCs w:val="28"/>
          </w:rPr>
          <w:t>http://www.valor.com.br/imprimir/noticia/4927396/brasil/4927396/queda-da-selic-reduz-em-r-20-bi-subsidio-tjlp</w:t>
        </w:r>
      </w:hyperlink>
      <w:r w:rsidR="004D2A51" w:rsidRPr="001A6132">
        <w:rPr>
          <w:rFonts w:asciiTheme="majorHAnsi" w:hAnsiTheme="majorHAnsi" w:cstheme="majorHAnsi"/>
          <w:b/>
          <w:color w:val="666666"/>
          <w:sz w:val="24"/>
          <w:szCs w:val="28"/>
        </w:rPr>
        <w:br/>
      </w:r>
      <w:bookmarkStart w:id="0" w:name="_Hlk479260802"/>
      <w:r w:rsidR="001A6132" w:rsidRPr="001A6132">
        <w:rPr>
          <w:rFonts w:asciiTheme="majorHAnsi" w:hAnsiTheme="majorHAnsi" w:cstheme="majorHAnsi"/>
          <w:b/>
          <w:color w:val="666666"/>
          <w:sz w:val="24"/>
          <w:szCs w:val="28"/>
        </w:rPr>
        <w:t>Questão</w:t>
      </w:r>
    </w:p>
    <w:p w:rsidR="001A6132" w:rsidRPr="001A6132" w:rsidRDefault="001A6132" w:rsidP="001A6132">
      <w:pPr>
        <w:rPr>
          <w:rFonts w:asciiTheme="majorHAnsi" w:hAnsiTheme="majorHAnsi" w:cstheme="majorHAnsi"/>
          <w:b/>
          <w:color w:val="666666"/>
          <w:sz w:val="24"/>
          <w:szCs w:val="28"/>
        </w:rPr>
      </w:pPr>
      <w:r w:rsidRPr="001A6132">
        <w:rPr>
          <w:rFonts w:asciiTheme="majorHAnsi" w:hAnsiTheme="majorHAnsi" w:cstheme="majorHAnsi"/>
          <w:b/>
          <w:color w:val="666666"/>
          <w:sz w:val="24"/>
          <w:szCs w:val="28"/>
        </w:rPr>
        <w:t>Qual a consequência da mudança da TJLP para a TLP na economia?</w:t>
      </w:r>
    </w:p>
    <w:p w:rsidR="001A6132" w:rsidRPr="001A6132" w:rsidRDefault="001A6132" w:rsidP="001A6132">
      <w:pPr>
        <w:rPr>
          <w:rFonts w:asciiTheme="majorHAnsi" w:hAnsiTheme="majorHAnsi" w:cstheme="majorHAnsi"/>
          <w:color w:val="666666"/>
          <w:sz w:val="24"/>
          <w:szCs w:val="28"/>
        </w:rPr>
      </w:pPr>
      <w:r w:rsidRPr="001A6132">
        <w:rPr>
          <w:rFonts w:asciiTheme="majorHAnsi" w:hAnsiTheme="majorHAnsi" w:cstheme="majorHAnsi"/>
          <w:color w:val="666666"/>
          <w:sz w:val="24"/>
          <w:szCs w:val="28"/>
        </w:rPr>
        <w:t>Dado que a TJLP é uma taxa subsidiada e fixada pelo governo de maneira discricionária, ela provoca outra distorção: para controlar a inflação, o Banco Central é obrigado a fixar a taxa Selic em patamares mais elevados. Essa é uma forma de reprimir a demanda de quem não tem acesso ao crédito direcionado, de maneira a compensar o fato de que metade do crédito não é afetado pela Selic e, portanto, em momentos de alta inflação esse mercado continua aquecido.</w:t>
      </w:r>
    </w:p>
    <w:p w:rsidR="001A6132" w:rsidRPr="001A6132" w:rsidRDefault="001A6132" w:rsidP="001A6132">
      <w:pPr>
        <w:rPr>
          <w:rFonts w:asciiTheme="majorHAnsi" w:hAnsiTheme="majorHAnsi" w:cstheme="majorHAnsi"/>
          <w:color w:val="666666"/>
          <w:sz w:val="24"/>
          <w:szCs w:val="28"/>
        </w:rPr>
      </w:pPr>
      <w:r w:rsidRPr="001A6132">
        <w:rPr>
          <w:rFonts w:asciiTheme="majorHAnsi" w:hAnsiTheme="majorHAnsi" w:cstheme="majorHAnsi"/>
          <w:color w:val="666666"/>
          <w:sz w:val="24"/>
          <w:szCs w:val="28"/>
        </w:rPr>
        <w:t>Em momentos de grande alta da Selic, a TJLP continuou estagnada. Esse fenômeno torna o canal de crédito da política monetária menos eficaz para as empresas com mais acesso aos empréstimos direcionados.</w:t>
      </w:r>
    </w:p>
    <w:p w:rsidR="001A6132" w:rsidRPr="001A6132" w:rsidRDefault="001A6132" w:rsidP="001A6132">
      <w:pPr>
        <w:rPr>
          <w:rFonts w:asciiTheme="majorHAnsi" w:hAnsiTheme="majorHAnsi" w:cstheme="majorHAnsi"/>
          <w:color w:val="666666"/>
          <w:sz w:val="24"/>
          <w:szCs w:val="28"/>
        </w:rPr>
      </w:pPr>
      <w:r w:rsidRPr="001A6132">
        <w:rPr>
          <w:rFonts w:asciiTheme="majorHAnsi" w:hAnsiTheme="majorHAnsi" w:cstheme="majorHAnsi"/>
          <w:color w:val="666666"/>
          <w:sz w:val="24"/>
          <w:szCs w:val="28"/>
        </w:rPr>
        <w:t>Sabendo que a TLP será definida pelo Índice de Preços ao Consumidor Amplo (IPCA), mais a taxa de juro real da NTN-B de cinco anos. A convergência da TLP para a taxa de juro real da NTN-B será gradativa, acontecendo em cinco anos.</w:t>
      </w:r>
    </w:p>
    <w:p w:rsidR="0030297A" w:rsidRDefault="001A6132">
      <w:pPr>
        <w:rPr>
          <w:rFonts w:asciiTheme="majorHAnsi" w:hAnsiTheme="majorHAnsi" w:cstheme="majorHAnsi"/>
          <w:color w:val="666666"/>
          <w:sz w:val="24"/>
          <w:szCs w:val="28"/>
        </w:rPr>
      </w:pPr>
      <w:r w:rsidRPr="001A6132">
        <w:rPr>
          <w:rFonts w:asciiTheme="majorHAnsi" w:hAnsiTheme="majorHAnsi" w:cstheme="majorHAnsi"/>
          <w:color w:val="666666"/>
          <w:sz w:val="24"/>
          <w:szCs w:val="28"/>
        </w:rPr>
        <w:t>A convergência entre a TLP e a NTN-B ampliará o estoque de crédito da economia sensível à política monetária, amplificando sua potência. Isso permitirá que as taxas de juros da economia brasileira se reduzam de maneira estrutural, com impactos positivos sobre os investimentos, a atividade econômica e o emprego.</w:t>
      </w:r>
      <w:bookmarkEnd w:id="0"/>
    </w:p>
    <w:p w:rsidR="00C83444" w:rsidRPr="00C83444" w:rsidRDefault="00C83444">
      <w:pPr>
        <w:rPr>
          <w:rFonts w:asciiTheme="majorHAnsi" w:hAnsiTheme="majorHAnsi" w:cstheme="majorHAnsi"/>
          <w:b/>
          <w:color w:val="666666"/>
          <w:sz w:val="24"/>
          <w:szCs w:val="28"/>
          <w:u w:val="single"/>
        </w:rPr>
      </w:pPr>
      <w:r w:rsidRPr="00C83444">
        <w:rPr>
          <w:rFonts w:asciiTheme="majorHAnsi" w:hAnsiTheme="majorHAnsi" w:cstheme="majorHAnsi"/>
          <w:b/>
          <w:color w:val="666666"/>
          <w:sz w:val="24"/>
          <w:szCs w:val="28"/>
          <w:u w:val="single"/>
        </w:rPr>
        <w:t>Nomes: Gabriel Passos 9281755; Lucas Gonçalves</w:t>
      </w:r>
      <w:r>
        <w:rPr>
          <w:rFonts w:asciiTheme="majorHAnsi" w:hAnsiTheme="majorHAnsi" w:cstheme="majorHAnsi"/>
          <w:b/>
          <w:color w:val="666666"/>
          <w:sz w:val="24"/>
          <w:szCs w:val="28"/>
          <w:u w:val="single"/>
        </w:rPr>
        <w:t xml:space="preserve"> </w:t>
      </w:r>
      <w:r w:rsidRPr="00C83444">
        <w:rPr>
          <w:rFonts w:asciiTheme="majorHAnsi" w:hAnsiTheme="majorHAnsi" w:cstheme="majorHAnsi"/>
          <w:b/>
          <w:color w:val="666666"/>
          <w:sz w:val="24"/>
          <w:szCs w:val="28"/>
          <w:u w:val="single"/>
        </w:rPr>
        <w:t>9281859</w:t>
      </w:r>
      <w:bookmarkStart w:id="1" w:name="_GoBack"/>
      <w:bookmarkEnd w:id="1"/>
    </w:p>
    <w:sectPr w:rsidR="00C83444" w:rsidRPr="00C8344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A51"/>
    <w:rsid w:val="001A6132"/>
    <w:rsid w:val="002A2DC1"/>
    <w:rsid w:val="0030297A"/>
    <w:rsid w:val="004B4F0E"/>
    <w:rsid w:val="004D2A51"/>
    <w:rsid w:val="00730C32"/>
    <w:rsid w:val="00770F5E"/>
    <w:rsid w:val="00B07AA0"/>
    <w:rsid w:val="00C83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B3999"/>
  <w15:chartTrackingRefBased/>
  <w15:docId w15:val="{CEADA078-4DB5-4C5A-B803-40CF7C16D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4D2A51"/>
  </w:style>
  <w:style w:type="character" w:styleId="Hyperlink">
    <w:name w:val="Hyperlink"/>
    <w:basedOn w:val="Fontepargpadro"/>
    <w:uiPriority w:val="99"/>
    <w:unhideWhenUsed/>
    <w:rsid w:val="004B4F0E"/>
    <w:rPr>
      <w:color w:val="0563C1" w:themeColor="hyperlink"/>
      <w:u w:val="single"/>
    </w:rPr>
  </w:style>
  <w:style w:type="character" w:styleId="Meno">
    <w:name w:val="Mention"/>
    <w:basedOn w:val="Fontepargpadro"/>
    <w:uiPriority w:val="99"/>
    <w:semiHidden/>
    <w:unhideWhenUsed/>
    <w:rsid w:val="004B4F0E"/>
    <w:rPr>
      <w:color w:val="2B579A"/>
      <w:shd w:val="clear" w:color="auto" w:fill="E6E6E6"/>
    </w:rPr>
  </w:style>
  <w:style w:type="character" w:styleId="HiperlinkVisitado">
    <w:name w:val="FollowedHyperlink"/>
    <w:basedOn w:val="Fontepargpadro"/>
    <w:uiPriority w:val="99"/>
    <w:semiHidden/>
    <w:unhideWhenUsed/>
    <w:rsid w:val="00770F5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2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alor.com.br/imprimir/noticia/4927396/brasil/4927396/queda-da-selic-reduz-em-r-20-bi-subsidio-tjl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855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</dc:creator>
  <cp:keywords/>
  <dc:description/>
  <cp:lastModifiedBy>Gabriel</cp:lastModifiedBy>
  <cp:revision>10</cp:revision>
  <dcterms:created xsi:type="dcterms:W3CDTF">2017-04-05T19:21:00Z</dcterms:created>
  <dcterms:modified xsi:type="dcterms:W3CDTF">2017-04-06T21:27:00Z</dcterms:modified>
</cp:coreProperties>
</file>