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AE" w:rsidRDefault="000E47AE" w:rsidP="000E47AE">
      <w:r>
        <w:t>Segundo o CPC 06:</w:t>
      </w:r>
    </w:p>
    <w:p w:rsidR="000E47AE" w:rsidRDefault="000E47AE" w:rsidP="000E47AE">
      <w:r>
        <w:t xml:space="preserve">Arrendamento mercantil </w:t>
      </w:r>
      <w:r w:rsidRPr="000E47AE">
        <w:rPr>
          <w:b/>
        </w:rPr>
        <w:t>financeiro</w:t>
      </w:r>
      <w:r>
        <w:t xml:space="preserve"> é aquele em que há transferência substancial dos riscos e</w:t>
      </w:r>
      <w:r>
        <w:t xml:space="preserve"> </w:t>
      </w:r>
      <w:r>
        <w:t xml:space="preserve">benefícios inerentes à propriedade de um ativo. O título de propriedade pode ou não vir a ser transferido. </w:t>
      </w:r>
    </w:p>
    <w:p w:rsidR="001F6B8A" w:rsidRDefault="000E47AE" w:rsidP="000E47AE">
      <w:r>
        <w:t xml:space="preserve">Arrendamento mercantil </w:t>
      </w:r>
      <w:r w:rsidRPr="000E47AE">
        <w:rPr>
          <w:b/>
        </w:rPr>
        <w:t>operacional</w:t>
      </w:r>
      <w:r>
        <w:t xml:space="preserve"> é um arrendamento mercantil diferente de um arrendamento mercantil financeiro.</w:t>
      </w:r>
    </w:p>
    <w:p w:rsidR="000E47AE" w:rsidRDefault="000E47AE" w:rsidP="000E47AE">
      <w:r>
        <w:t xml:space="preserve">10. A </w:t>
      </w:r>
      <w:r w:rsidRPr="000E47AE">
        <w:rPr>
          <w:b/>
        </w:rPr>
        <w:t>classificação</w:t>
      </w:r>
      <w:r>
        <w:t xml:space="preserve"> de um arrendamento mercantil como arrendamento mercantil financeiro ou arrendamento mercantil operacional depende da essência da transação e não da forma do contrato. Exemplos de situações que individualmente ou em conjunto levariam normalmente a que um arrendamento mercantil fosse classificado como arrendamento mercantil financeiro são: (a) o arrendamento mercantil transfere a propriedade do ativo para o arrendatário no fim do prazo do arrendamento mercantil; (b) o arrendatário tem a opção de comprar o ativo por um preço que se espera seja suficientemente mais baixo do que o valor justo à data em que a opção se torne exercível de forma que, no início do arrendamento mercantil, seja razoavelmente certo que a opção será exercida; (c) o prazo do arrendamento mercantil refere-se à maior parte da vida econômica do ativo mesmo que a propriedade não seja transferida; (d) no início do arrendamento mercantil, o valor presente dos pagamentos mínimos do arrendamento mercantil totaliza pelo menos substancialmente todo o valor justo do ativo arrendado; e (e) os ativos arrendados são de natureza especializada de tal forma que apenas o arrendatário pode usá-los sem grandes modificações.</w:t>
      </w:r>
    </w:p>
    <w:p w:rsidR="000E47AE" w:rsidRDefault="000E47AE" w:rsidP="000E47AE"/>
    <w:p w:rsidR="000E47AE" w:rsidRDefault="000E47AE" w:rsidP="000E47AE">
      <w:r>
        <w:t xml:space="preserve">Contudo, pesquisas indicam que há USD </w:t>
      </w:r>
      <w:r w:rsidRPr="000E47AE">
        <w:t>3 trilhões de passivos off balance</w:t>
      </w:r>
      <w:r>
        <w:t xml:space="preserve"> nos balanços de empresas arrendatárias em contratos de arrendamento operacional.</w:t>
      </w:r>
    </w:p>
    <w:p w:rsidR="000E47AE" w:rsidRDefault="000E47AE" w:rsidP="000E47AE">
      <w:r>
        <w:t xml:space="preserve">O mercado acredita que esses passivos deveriam aparecer no balanço das arrendatárias, pois os contratos são complexos e muitos apresentam características de arrendamento operacional e financeiro. </w:t>
      </w:r>
    </w:p>
    <w:p w:rsidR="000E47AE" w:rsidRPr="000E47AE" w:rsidRDefault="000E47AE" w:rsidP="000E47AE">
      <w:r>
        <w:t>Avalie a situação, consulte balanços de empresas com arrendamento operacional (companhias áreas) e apresente uma solução para o regulador (IASB), se houver uma.</w:t>
      </w:r>
      <w:bookmarkStart w:id="0" w:name="_GoBack"/>
      <w:bookmarkEnd w:id="0"/>
    </w:p>
    <w:sectPr w:rsidR="000E47AE" w:rsidRPr="000E4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E"/>
    <w:rsid w:val="000E47AE"/>
    <w:rsid w:val="002E5432"/>
    <w:rsid w:val="007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B07F-19DB-43FB-88D3-1528664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72CA-1E0E-4DAB-BE1F-8AB604F3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Luiz Menezes da Silva</dc:creator>
  <cp:keywords/>
  <dc:description/>
  <cp:lastModifiedBy>Ricardo Luiz Menezes da Silva</cp:lastModifiedBy>
  <cp:revision>1</cp:revision>
  <dcterms:created xsi:type="dcterms:W3CDTF">2017-03-16T23:40:00Z</dcterms:created>
  <dcterms:modified xsi:type="dcterms:W3CDTF">2017-03-16T23:50:00Z</dcterms:modified>
</cp:coreProperties>
</file>