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F80A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Universidade de São Paulo</w:t>
      </w:r>
    </w:p>
    <w:p w14:paraId="13C55347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Faculdade  de Filosofia, Letras e Ciências Humanas</w:t>
      </w:r>
    </w:p>
    <w:p w14:paraId="141894C0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Departamento de Sociologia</w:t>
      </w:r>
    </w:p>
    <w:p w14:paraId="0E0F47F2" w14:textId="77777777" w:rsidR="00C07F89" w:rsidRPr="00E6044F" w:rsidRDefault="00C07F89" w:rsidP="00120CFE">
      <w:pPr>
        <w:spacing w:after="0"/>
        <w:jc w:val="center"/>
        <w:rPr>
          <w:b/>
          <w:noProof/>
          <w:sz w:val="22"/>
        </w:rPr>
      </w:pPr>
    </w:p>
    <w:p w14:paraId="1AE2ECD1" w14:textId="4033A9FD" w:rsidR="00F943B0" w:rsidRPr="00E6044F" w:rsidRDefault="00C07F89" w:rsidP="00120CFE">
      <w:pPr>
        <w:spacing w:after="0"/>
        <w:jc w:val="center"/>
        <w:rPr>
          <w:b/>
          <w:noProof/>
          <w:sz w:val="22"/>
        </w:rPr>
      </w:pPr>
      <w:r w:rsidRPr="00E6044F">
        <w:rPr>
          <w:b/>
          <w:noProof/>
          <w:sz w:val="22"/>
        </w:rPr>
        <w:t xml:space="preserve">Disciplina: </w:t>
      </w:r>
      <w:r w:rsidR="003423E4" w:rsidRPr="00E6044F">
        <w:rPr>
          <w:b/>
          <w:noProof/>
          <w:sz w:val="22"/>
        </w:rPr>
        <w:t>Cidade e trabalho: tópico</w:t>
      </w:r>
      <w:r w:rsidRPr="00E6044F">
        <w:rPr>
          <w:b/>
          <w:noProof/>
          <w:sz w:val="22"/>
        </w:rPr>
        <w:t>s de sociologia urbana (FSL0649)</w:t>
      </w:r>
    </w:p>
    <w:p w14:paraId="190D2934" w14:textId="77777777" w:rsidR="00E6044F" w:rsidRPr="00E6044F" w:rsidRDefault="00E6044F" w:rsidP="00120CFE">
      <w:pPr>
        <w:spacing w:after="0"/>
        <w:jc w:val="center"/>
        <w:rPr>
          <w:b/>
          <w:noProof/>
          <w:sz w:val="22"/>
        </w:rPr>
      </w:pPr>
    </w:p>
    <w:p w14:paraId="099A97C8" w14:textId="641C3C62" w:rsidR="003423E4" w:rsidRPr="00E6044F" w:rsidRDefault="00E776E4" w:rsidP="00120CFE">
      <w:pPr>
        <w:spacing w:after="0"/>
        <w:jc w:val="left"/>
        <w:rPr>
          <w:noProof/>
          <w:sz w:val="22"/>
        </w:rPr>
      </w:pPr>
      <w:r>
        <w:rPr>
          <w:noProof/>
          <w:sz w:val="22"/>
        </w:rPr>
        <w:t>2o semestre 2014</w:t>
      </w:r>
    </w:p>
    <w:p w14:paraId="0ABD8ABB" w14:textId="77777777" w:rsidR="00C07F89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</w:p>
    <w:p w14:paraId="247FEED1" w14:textId="77777777" w:rsidR="003423E4" w:rsidRPr="00E6044F" w:rsidRDefault="003423E4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Professora responsável: </w:t>
      </w:r>
    </w:p>
    <w:p w14:paraId="516CC044" w14:textId="7525C6F7" w:rsidR="00E6044F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Profa. Dra. </w:t>
      </w:r>
      <w:r w:rsidR="003423E4" w:rsidRPr="00E6044F">
        <w:rPr>
          <w:noProof/>
          <w:sz w:val="22"/>
          <w:szCs w:val="22"/>
        </w:rPr>
        <w:t>Vera da Silva Telles</w:t>
      </w:r>
    </w:p>
    <w:p w14:paraId="2A981EC4" w14:textId="28F25EA6" w:rsidR="00E6044F" w:rsidRPr="00E6044F" w:rsidRDefault="00716E59" w:rsidP="00120CFE">
      <w:pPr>
        <w:pStyle w:val="NoSpacing"/>
        <w:spacing w:after="0"/>
        <w:rPr>
          <w:noProof/>
          <w:sz w:val="22"/>
          <w:szCs w:val="22"/>
        </w:rPr>
      </w:pPr>
      <w:hyperlink r:id="rId8" w:history="1">
        <w:r w:rsidR="003423E4" w:rsidRPr="00E6044F">
          <w:rPr>
            <w:rStyle w:val="Hyperlink"/>
            <w:noProof/>
            <w:sz w:val="22"/>
            <w:szCs w:val="22"/>
          </w:rPr>
          <w:t>www.veratelles.net</w:t>
        </w:r>
      </w:hyperlink>
    </w:p>
    <w:p w14:paraId="28E11E4B" w14:textId="77777777" w:rsidR="00E6044F" w:rsidRPr="00E6044F" w:rsidRDefault="00E6044F" w:rsidP="00120CFE">
      <w:pPr>
        <w:spacing w:after="0"/>
        <w:rPr>
          <w:b/>
          <w:noProof/>
          <w:sz w:val="22"/>
        </w:rPr>
      </w:pPr>
    </w:p>
    <w:p w14:paraId="16AEE1FC" w14:textId="77777777" w:rsidR="003423E4" w:rsidRPr="00E6044F" w:rsidRDefault="000D2128" w:rsidP="00120CFE">
      <w:pPr>
        <w:spacing w:after="0"/>
        <w:rPr>
          <w:b/>
          <w:noProof/>
          <w:sz w:val="22"/>
        </w:rPr>
      </w:pPr>
      <w:r w:rsidRPr="00E6044F">
        <w:rPr>
          <w:b/>
          <w:noProof/>
          <w:sz w:val="22"/>
        </w:rPr>
        <w:t>Objetivo e conteúdos</w:t>
      </w:r>
    </w:p>
    <w:p w14:paraId="3ABC93FA" w14:textId="77777777" w:rsidR="00F943B0" w:rsidRPr="00E6044F" w:rsidRDefault="00F943B0" w:rsidP="00120CFE">
      <w:pPr>
        <w:pStyle w:val="NoSpacing"/>
        <w:spacing w:after="0"/>
        <w:rPr>
          <w:sz w:val="22"/>
          <w:szCs w:val="22"/>
        </w:rPr>
      </w:pPr>
    </w:p>
    <w:p w14:paraId="162A352C" w14:textId="308C304D" w:rsidR="00CA6FF3" w:rsidRPr="004A4B52" w:rsidRDefault="00962283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Tema clássico nos estudos urbanos, as relações entre cidade e mobilidade – de mercadorias, de capitais, de populações, também de informações, de ideias e comportamentos – é questão que ganha outras configurações no cenário contemporâneo</w:t>
      </w:r>
      <w:r w:rsidR="000D2128" w:rsidRPr="004A4B52">
        <w:rPr>
          <w:sz w:val="20"/>
          <w:szCs w:val="22"/>
        </w:rPr>
        <w:t xml:space="preserve">. </w:t>
      </w:r>
      <w:r w:rsidR="00244227" w:rsidRPr="004A4B52">
        <w:rPr>
          <w:sz w:val="20"/>
          <w:szCs w:val="22"/>
        </w:rPr>
        <w:t xml:space="preserve">O objetivo desse semestre é (a) recuperar alguns desses </w:t>
      </w:r>
      <w:r w:rsidR="00F912DD" w:rsidRPr="004A4B52">
        <w:rPr>
          <w:sz w:val="20"/>
          <w:szCs w:val="22"/>
        </w:rPr>
        <w:t>tópicos</w:t>
      </w:r>
      <w:r w:rsidR="00244227" w:rsidRPr="004A4B52">
        <w:rPr>
          <w:sz w:val="20"/>
          <w:szCs w:val="22"/>
        </w:rPr>
        <w:t xml:space="preserve"> dos estudos urbanos, mostrando as relações entre </w:t>
      </w:r>
      <w:r w:rsidR="00F912DD" w:rsidRPr="004A4B52">
        <w:rPr>
          <w:sz w:val="20"/>
          <w:szCs w:val="22"/>
        </w:rPr>
        <w:t>mobilidade</w:t>
      </w:r>
      <w:r w:rsidR="00187FD9" w:rsidRPr="004A4B52">
        <w:rPr>
          <w:sz w:val="20"/>
          <w:szCs w:val="22"/>
        </w:rPr>
        <w:t xml:space="preserve">, politicas urbanas e </w:t>
      </w:r>
      <w:r w:rsidR="00F912DD" w:rsidRPr="004A4B52">
        <w:rPr>
          <w:sz w:val="20"/>
          <w:szCs w:val="22"/>
        </w:rPr>
        <w:t>gestão</w:t>
      </w:r>
      <w:r w:rsidR="00187FD9" w:rsidRPr="004A4B52">
        <w:rPr>
          <w:sz w:val="20"/>
          <w:szCs w:val="22"/>
        </w:rPr>
        <w:t xml:space="preserve"> dos espaços para, em seguida, (b) indicar os deslocamentos dessas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no cenário dos circuitos globalizados das mobilidades </w:t>
      </w:r>
      <w:r w:rsidR="00F912DD" w:rsidRPr="004A4B52">
        <w:rPr>
          <w:sz w:val="20"/>
          <w:szCs w:val="22"/>
        </w:rPr>
        <w:t>contemporâneas</w:t>
      </w:r>
      <w:r w:rsidR="00187FD9" w:rsidRPr="004A4B52">
        <w:rPr>
          <w:sz w:val="20"/>
          <w:szCs w:val="22"/>
        </w:rPr>
        <w:t xml:space="preserve">. 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serão</w:t>
      </w:r>
      <w:r w:rsidR="00187FD9" w:rsidRPr="004A4B52">
        <w:rPr>
          <w:sz w:val="20"/>
          <w:szCs w:val="22"/>
        </w:rPr>
        <w:t xml:space="preserve"> discutidas em </w:t>
      </w:r>
      <w:r w:rsidR="00AD07DB">
        <w:rPr>
          <w:sz w:val="20"/>
          <w:szCs w:val="22"/>
        </w:rPr>
        <w:t>três</w:t>
      </w:r>
      <w:r w:rsidR="00187FD9" w:rsidRPr="004A4B52">
        <w:rPr>
          <w:sz w:val="20"/>
          <w:szCs w:val="22"/>
        </w:rPr>
        <w:t xml:space="preserve"> momentos. </w:t>
      </w:r>
    </w:p>
    <w:p w14:paraId="6A02F6FA" w14:textId="77777777" w:rsidR="00CA6FF3" w:rsidRPr="004A4B52" w:rsidRDefault="00CA6FF3" w:rsidP="00120CFE">
      <w:pPr>
        <w:pStyle w:val="NoSpacing"/>
        <w:spacing w:after="0"/>
        <w:rPr>
          <w:sz w:val="20"/>
          <w:szCs w:val="22"/>
        </w:rPr>
      </w:pPr>
    </w:p>
    <w:p w14:paraId="15017F0A" w14:textId="29C67CA4" w:rsidR="00AD07DB" w:rsidRDefault="00187FD9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Na primeira parte</w:t>
      </w:r>
      <w:r w:rsidR="004076CE">
        <w:rPr>
          <w:sz w:val="20"/>
          <w:szCs w:val="22"/>
        </w:rPr>
        <w:t>,</w:t>
      </w:r>
      <w:r w:rsidR="004076CE" w:rsidRPr="004A4B52">
        <w:rPr>
          <w:sz w:val="20"/>
          <w:szCs w:val="22"/>
        </w:rPr>
        <w:t xml:space="preserve"> </w:t>
      </w:r>
      <w:r w:rsidR="00CA6FF3" w:rsidRPr="004A4B52">
        <w:rPr>
          <w:sz w:val="20"/>
          <w:szCs w:val="22"/>
        </w:rPr>
        <w:t xml:space="preserve">a titulo de introdução aos temas </w:t>
      </w:r>
      <w:r w:rsidR="004076CE">
        <w:rPr>
          <w:sz w:val="20"/>
          <w:szCs w:val="22"/>
        </w:rPr>
        <w:t xml:space="preserve">a serem </w:t>
      </w:r>
      <w:r w:rsidR="00CA6FF3" w:rsidRPr="004A4B52">
        <w:rPr>
          <w:sz w:val="20"/>
          <w:szCs w:val="22"/>
        </w:rPr>
        <w:t>trabalhados na sequência do curso</w:t>
      </w:r>
      <w:r w:rsidR="004076CE">
        <w:rPr>
          <w:sz w:val="20"/>
          <w:szCs w:val="22"/>
        </w:rPr>
        <w:t>, serão discutidas a</w:t>
      </w:r>
      <w:r w:rsidR="00CA6FF3" w:rsidRPr="004A4B52">
        <w:rPr>
          <w:sz w:val="20"/>
          <w:szCs w:val="22"/>
        </w:rPr>
        <w:t>lgumas questões postas no cenário das cidades contemporâneas</w:t>
      </w:r>
      <w:r w:rsidR="004076CE">
        <w:rPr>
          <w:sz w:val="20"/>
          <w:szCs w:val="22"/>
        </w:rPr>
        <w:t xml:space="preserve">, tal como propostas </w:t>
      </w:r>
      <w:r w:rsidR="00CA6FF3" w:rsidRPr="004A4B52">
        <w:rPr>
          <w:sz w:val="20"/>
          <w:szCs w:val="22"/>
        </w:rPr>
        <w:t>por autores de</w:t>
      </w:r>
      <w:r w:rsidR="004076CE">
        <w:rPr>
          <w:sz w:val="20"/>
          <w:szCs w:val="22"/>
        </w:rPr>
        <w:t xml:space="preserve"> referência nos estudos urbanos:</w:t>
      </w:r>
      <w:r w:rsidR="00CA6FF3" w:rsidRPr="004A4B52">
        <w:rPr>
          <w:sz w:val="20"/>
          <w:szCs w:val="22"/>
        </w:rPr>
        <w:t xml:space="preserve"> a ênfase será colocada nos deslocamentos dos campos conceituais nos modos de </w:t>
      </w:r>
      <w:r w:rsidR="004076CE">
        <w:rPr>
          <w:sz w:val="20"/>
          <w:szCs w:val="22"/>
        </w:rPr>
        <w:t>situar</w:t>
      </w:r>
      <w:r w:rsidR="00CA6FF3" w:rsidRPr="004A4B52">
        <w:rPr>
          <w:sz w:val="20"/>
          <w:szCs w:val="22"/>
        </w:rPr>
        <w:t xml:space="preserve"> e problematizar o lugar da cidade no mundo contemporâneo e as lógicas inscritas na produção dos espaços urbanos. </w:t>
      </w:r>
      <w:r w:rsidR="004076CE">
        <w:rPr>
          <w:sz w:val="20"/>
          <w:szCs w:val="22"/>
        </w:rPr>
        <w:t xml:space="preserve">A </w:t>
      </w:r>
      <w:r w:rsidR="00CA6FF3" w:rsidRPr="004A4B52">
        <w:rPr>
          <w:sz w:val="20"/>
          <w:szCs w:val="22"/>
        </w:rPr>
        <w:t>segunda parte</w:t>
      </w:r>
      <w:r w:rsidR="004076CE">
        <w:rPr>
          <w:sz w:val="20"/>
          <w:szCs w:val="22"/>
        </w:rPr>
        <w:t xml:space="preserve"> irá tratar, em vários registros, d</w:t>
      </w:r>
      <w:r w:rsidRPr="004A4B52">
        <w:rPr>
          <w:sz w:val="20"/>
          <w:szCs w:val="22"/>
        </w:rPr>
        <w:t xml:space="preserve">as </w:t>
      </w:r>
      <w:r w:rsidR="00F912DD" w:rsidRPr="004A4B52">
        <w:rPr>
          <w:sz w:val="20"/>
          <w:szCs w:val="22"/>
        </w:rPr>
        <w:t>relações</w:t>
      </w:r>
      <w:r w:rsidRPr="004A4B52">
        <w:rPr>
          <w:sz w:val="20"/>
          <w:szCs w:val="22"/>
        </w:rPr>
        <w:t xml:space="preserve"> entre cidade, mobilidade e politica, com </w:t>
      </w:r>
      <w:r w:rsidR="00F912DD" w:rsidRPr="004A4B52">
        <w:rPr>
          <w:sz w:val="20"/>
          <w:szCs w:val="22"/>
        </w:rPr>
        <w:t>ênfase</w:t>
      </w:r>
      <w:r w:rsidRPr="004A4B52">
        <w:rPr>
          <w:sz w:val="20"/>
          <w:szCs w:val="22"/>
        </w:rPr>
        <w:t xml:space="preserve"> n</w:t>
      </w:r>
      <w:r w:rsidR="004076CE">
        <w:rPr>
          <w:sz w:val="20"/>
          <w:szCs w:val="22"/>
        </w:rPr>
        <w:t>os nexos que articulam a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produção</w:t>
      </w:r>
      <w:r w:rsidRPr="004A4B52">
        <w:rPr>
          <w:sz w:val="20"/>
          <w:szCs w:val="22"/>
        </w:rPr>
        <w:t xml:space="preserve"> </w:t>
      </w:r>
      <w:r w:rsidR="004076CE">
        <w:rPr>
          <w:sz w:val="20"/>
          <w:szCs w:val="22"/>
        </w:rPr>
        <w:t xml:space="preserve">dos espaços urbanos, novas formas de controle e gestão </w:t>
      </w:r>
      <w:r w:rsidRPr="004A4B52">
        <w:rPr>
          <w:sz w:val="20"/>
          <w:szCs w:val="22"/>
        </w:rPr>
        <w:t>da</w:t>
      </w:r>
      <w:r w:rsidR="004076CE">
        <w:rPr>
          <w:sz w:val="20"/>
          <w:szCs w:val="22"/>
        </w:rPr>
        <w:t>s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populações</w:t>
      </w:r>
      <w:r w:rsidR="00F943B0" w:rsidRPr="004A4B52">
        <w:rPr>
          <w:sz w:val="20"/>
          <w:szCs w:val="22"/>
        </w:rPr>
        <w:t>.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 xml:space="preserve">Na </w:t>
      </w:r>
      <w:r w:rsidR="00AD07DB">
        <w:rPr>
          <w:sz w:val="20"/>
          <w:szCs w:val="22"/>
        </w:rPr>
        <w:t>terceira</w:t>
      </w:r>
      <w:r w:rsidR="00F912DD" w:rsidRPr="004A4B52">
        <w:rPr>
          <w:sz w:val="20"/>
          <w:szCs w:val="22"/>
        </w:rPr>
        <w:t xml:space="preserve"> parte, essas questões serão retomadas sob prisma das dimensões conflituosas desses processos, o que faz cidade um espaço de disputas em torno justamente das formas de mobilidade e acesso aos recursos e possibilidades de vida que a cidade produz. </w:t>
      </w:r>
    </w:p>
    <w:p w14:paraId="64E93FC6" w14:textId="77777777" w:rsidR="00AD07DB" w:rsidRDefault="00AD07DB" w:rsidP="00120CFE">
      <w:pPr>
        <w:pStyle w:val="NoSpacing"/>
        <w:spacing w:after="0"/>
        <w:rPr>
          <w:sz w:val="20"/>
          <w:szCs w:val="22"/>
        </w:rPr>
      </w:pPr>
    </w:p>
    <w:p w14:paraId="6319466F" w14:textId="7573574E" w:rsidR="00187FD9" w:rsidRPr="004A4B52" w:rsidRDefault="00F912DD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 xml:space="preserve">A questão teórica que perpassa esses três momentos é uma questão chave no entendimento das dinâmicas urbanas e suas relações com mobilidade e seus circuitos: a cidade não é apenas um contexto em que esses processos ocorrem: suas estruturas e seus artetados, os espaços e suas materialidades são recursos de acumulação (é a tese chave de David Harvey), mas também de controle das populações, seus deslocamentos e suas insubordinações, assim como das forma de resistência e luta nos  e pelos espaços da cidade. </w:t>
      </w:r>
    </w:p>
    <w:p w14:paraId="0BA50629" w14:textId="77777777" w:rsidR="00187FD9" w:rsidRPr="004A4B52" w:rsidRDefault="00187FD9" w:rsidP="00120CFE">
      <w:pPr>
        <w:pStyle w:val="NoSpacing"/>
        <w:spacing w:after="0"/>
        <w:rPr>
          <w:noProof/>
          <w:sz w:val="20"/>
          <w:szCs w:val="22"/>
        </w:rPr>
      </w:pPr>
    </w:p>
    <w:p w14:paraId="6811D718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Métodos utilizados</w:t>
      </w:r>
    </w:p>
    <w:p w14:paraId="6F859FB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0F75AE14" w14:textId="77777777" w:rsidR="000D2128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Aulas expositivas e discussão de textos previamente indicados</w:t>
      </w:r>
    </w:p>
    <w:p w14:paraId="744D395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0A4007F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Critérios de avaliação</w:t>
      </w:r>
      <w:bookmarkStart w:id="0" w:name="_GoBack"/>
      <w:bookmarkEnd w:id="0"/>
    </w:p>
    <w:p w14:paraId="519DED90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2AF8C3F" w14:textId="13A42C0C" w:rsidR="00F943B0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Trabalho em grupo a ser entregue no final do curso. Os temas deverão ser definidos com base nos textos discutidos em sala de aula.</w:t>
      </w:r>
    </w:p>
    <w:p w14:paraId="5418D64E" w14:textId="77777777" w:rsidR="00E6044F" w:rsidRDefault="00E6044F" w:rsidP="00120CFE">
      <w:pPr>
        <w:spacing w:after="0"/>
        <w:ind w:left="720"/>
        <w:rPr>
          <w:noProof/>
          <w:sz w:val="20"/>
        </w:rPr>
      </w:pPr>
    </w:p>
    <w:p w14:paraId="0630742D" w14:textId="77777777" w:rsidR="00716E59" w:rsidRPr="004A4B52" w:rsidRDefault="00716E59" w:rsidP="00120CFE">
      <w:pPr>
        <w:spacing w:after="0"/>
        <w:ind w:left="720"/>
        <w:rPr>
          <w:noProof/>
          <w:sz w:val="20"/>
        </w:rPr>
      </w:pPr>
    </w:p>
    <w:p w14:paraId="1F4EBC3C" w14:textId="63407342" w:rsidR="00E6044F" w:rsidRPr="00AD07DB" w:rsidRDefault="00006093" w:rsidP="0012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sz w:val="20"/>
        </w:rPr>
      </w:pPr>
      <w:r w:rsidRPr="004A4B52">
        <w:rPr>
          <w:b/>
          <w:noProof/>
          <w:sz w:val="20"/>
        </w:rPr>
        <w:t>Observaçã</w:t>
      </w:r>
      <w:r w:rsidR="00E6044F" w:rsidRPr="004A4B52">
        <w:rPr>
          <w:b/>
          <w:noProof/>
          <w:sz w:val="20"/>
        </w:rPr>
        <w:t>o:  p</w:t>
      </w:r>
      <w:r w:rsidRPr="004A4B52">
        <w:rPr>
          <w:b/>
          <w:noProof/>
          <w:sz w:val="20"/>
        </w:rPr>
        <w:t>rograma e textos estarão disponí</w:t>
      </w:r>
      <w:r w:rsidR="00E6044F" w:rsidRPr="004A4B52">
        <w:rPr>
          <w:b/>
          <w:noProof/>
          <w:sz w:val="20"/>
        </w:rPr>
        <w:t xml:space="preserve">veis em </w:t>
      </w:r>
      <w:hyperlink r:id="rId9" w:history="1">
        <w:r w:rsidR="00E6044F" w:rsidRPr="004A4B52">
          <w:rPr>
            <w:rStyle w:val="Hyperlink"/>
            <w:b/>
            <w:noProof/>
            <w:sz w:val="20"/>
          </w:rPr>
          <w:t>www.veratelles.net</w:t>
        </w:r>
      </w:hyperlink>
      <w:r w:rsidR="00E6044F" w:rsidRPr="004A4B52">
        <w:rPr>
          <w:b/>
          <w:noProof/>
          <w:sz w:val="20"/>
        </w:rPr>
        <w:t>.</w:t>
      </w:r>
    </w:p>
    <w:p w14:paraId="5ED9155B" w14:textId="49153D5E" w:rsidR="00F912DD" w:rsidRDefault="00F912DD" w:rsidP="004A4B52">
      <w:pPr>
        <w:pStyle w:val="Heading1"/>
        <w:rPr>
          <w:noProof/>
        </w:rPr>
      </w:pPr>
      <w:r>
        <w:rPr>
          <w:noProof/>
        </w:rPr>
        <w:lastRenderedPageBreak/>
        <w:t>PROGRAMA</w:t>
      </w:r>
    </w:p>
    <w:p w14:paraId="08F7BE6E" w14:textId="32A400A3" w:rsidR="004A4B52" w:rsidRPr="004A4B52" w:rsidRDefault="00CA6FF3" w:rsidP="00120CFE">
      <w:pPr>
        <w:pStyle w:val="Heading1"/>
        <w:rPr>
          <w:noProof/>
        </w:rPr>
      </w:pPr>
      <w:r>
        <w:rPr>
          <w:noProof/>
        </w:rPr>
        <w:t xml:space="preserve">PARTE 1 – </w:t>
      </w:r>
      <w:r w:rsidR="004A4B52">
        <w:rPr>
          <w:noProof/>
        </w:rPr>
        <w:t>Transnacionalismos e o lugar redefinido da cidade</w:t>
      </w:r>
    </w:p>
    <w:p w14:paraId="43EB7B6D" w14:textId="58B94C26" w:rsidR="00CA6FF3" w:rsidRDefault="004A4B52" w:rsidP="00120CFE">
      <w:pPr>
        <w:pStyle w:val="Heading2"/>
      </w:pPr>
      <w:r w:rsidRPr="004A4B52">
        <w:t>1.  “Saberes da cidade” e espaços conceituais</w:t>
      </w:r>
    </w:p>
    <w:p w14:paraId="6FDFE5F9" w14:textId="05B69CE1" w:rsidR="004A4B52" w:rsidRDefault="00CA6FF3" w:rsidP="00D333A5">
      <w:pPr>
        <w:ind w:left="360"/>
        <w:rPr>
          <w:noProof/>
        </w:rPr>
      </w:pPr>
      <w:r w:rsidRPr="00BE6395">
        <w:rPr>
          <w:noProof/>
        </w:rPr>
        <w:t>TOPALOV, Christian. Os saberes sobre a cidade: tempos de crise? Espaço e Debates, vol. 11, no.34, 1991, pp. 28-38</w:t>
      </w:r>
    </w:p>
    <w:p w14:paraId="12297618" w14:textId="57AB2CF6" w:rsidR="00D333A5" w:rsidRPr="00D333A5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2. </w:t>
      </w:r>
      <w:r>
        <w:rPr>
          <w:noProof/>
        </w:rPr>
        <w:t xml:space="preserve"> </w:t>
      </w:r>
      <w:r w:rsidRPr="004A4B52">
        <w:rPr>
          <w:noProof/>
        </w:rPr>
        <w:t>Para além do “</w:t>
      </w:r>
      <w:r>
        <w:rPr>
          <w:noProof/>
        </w:rPr>
        <w:t>nacionalismo metodoló</w:t>
      </w:r>
      <w:r w:rsidRPr="004A4B52">
        <w:rPr>
          <w:noProof/>
        </w:rPr>
        <w:t>g</w:t>
      </w:r>
      <w:r>
        <w:rPr>
          <w:noProof/>
        </w:rPr>
        <w:t>i</w:t>
      </w:r>
      <w:r w:rsidRPr="004A4B52">
        <w:rPr>
          <w:noProof/>
        </w:rPr>
        <w:t>co”</w:t>
      </w:r>
      <w:r>
        <w:rPr>
          <w:noProof/>
        </w:rPr>
        <w:t>: questões e controvérsias</w:t>
      </w:r>
    </w:p>
    <w:p w14:paraId="45CBD814" w14:textId="5CE8CD6E" w:rsidR="004A4B52" w:rsidRPr="006C4A3F" w:rsidRDefault="006C4A3F" w:rsidP="00120CFE">
      <w:pPr>
        <w:ind w:left="360"/>
        <w:rPr>
          <w:noProof/>
        </w:rPr>
      </w:pPr>
      <w:r w:rsidRPr="006C4A3F">
        <w:rPr>
          <w:noProof/>
        </w:rPr>
        <w:t>SASSEM, Saskia. Sociologia da globalizaçao. Porto Alegre: Artmed, 2010 (especialmente, capitulo 4 - A cidade global: recuperando o lugar e as práticas sociais</w:t>
      </w:r>
    </w:p>
    <w:p w14:paraId="7DBBD8FF" w14:textId="6A1DDCA9" w:rsidR="004A4B52" w:rsidRDefault="006C4A3F" w:rsidP="00120CFE">
      <w:pPr>
        <w:ind w:left="360"/>
        <w:rPr>
          <w:noProof/>
        </w:rPr>
      </w:pPr>
      <w:r w:rsidRPr="006C4A3F">
        <w:rPr>
          <w:noProof/>
        </w:rPr>
        <w:t>ROY, Ananya. “The 21st Century Metropolis. New geographies of theory.” Regional Studies, v.43, 2009: pp. 819-830.</w:t>
      </w:r>
    </w:p>
    <w:p w14:paraId="5DFF78D6" w14:textId="16A72839" w:rsidR="004A4B52" w:rsidRPr="00120CFE" w:rsidRDefault="004A4B52" w:rsidP="00120CFE">
      <w:pPr>
        <w:ind w:left="360"/>
        <w:rPr>
          <w:b/>
          <w:noProof/>
        </w:rPr>
      </w:pPr>
      <w:r w:rsidRPr="00D333A5">
        <w:rPr>
          <w:b/>
          <w:noProof/>
        </w:rPr>
        <w:t>Texto de apoio:</w:t>
      </w:r>
    </w:p>
    <w:p w14:paraId="2CCB9232" w14:textId="25BECA9B" w:rsidR="004A4B52" w:rsidRDefault="004A4B52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Nina Glick Schiller et Andreas Wimmer. Methodological Nationalism and Beyond. Nation-State Building, Migration and the Social Sciences. Global Networks, 2-4, 2002</w:t>
      </w:r>
    </w:p>
    <w:p w14:paraId="382D4318" w14:textId="236F631E" w:rsidR="004A4B52" w:rsidRPr="006C4A3F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3.  Cidade e espaços urbanos: </w:t>
      </w:r>
      <w:r w:rsidR="00D333A5">
        <w:rPr>
          <w:noProof/>
        </w:rPr>
        <w:t xml:space="preserve">redes urbanas e </w:t>
      </w:r>
      <w:r w:rsidRPr="004A4B52">
        <w:rPr>
          <w:noProof/>
        </w:rPr>
        <w:t xml:space="preserve">jogos de escala na produção dos espaços </w:t>
      </w:r>
    </w:p>
    <w:p w14:paraId="09807B16" w14:textId="730AB290" w:rsidR="006C4A3F" w:rsidRPr="006C4A3F" w:rsidRDefault="006C4A3F" w:rsidP="004A4B52">
      <w:pPr>
        <w:rPr>
          <w:lang w:val="en-US" w:eastAsia="ja-JP"/>
        </w:rPr>
      </w:pPr>
      <w:r>
        <w:rPr>
          <w:lang w:val="en-US" w:eastAsia="ja-JP"/>
        </w:rPr>
        <w:t xml:space="preserve">   </w:t>
      </w:r>
      <w:r w:rsidR="004A4B52">
        <w:rPr>
          <w:lang w:val="en-US" w:eastAsia="ja-JP"/>
        </w:rPr>
        <w:t xml:space="preserve">   </w:t>
      </w:r>
      <w:r>
        <w:rPr>
          <w:lang w:val="en-US" w:eastAsia="ja-JP"/>
        </w:rPr>
        <w:t xml:space="preserve"> </w:t>
      </w:r>
      <w:r w:rsidRPr="006C4A3F">
        <w:rPr>
          <w:lang w:val="en-US" w:eastAsia="ja-JP"/>
        </w:rPr>
        <w:t xml:space="preserve">BRENNER, N. Theses on Urbanization. </w:t>
      </w:r>
      <w:proofErr w:type="gramStart"/>
      <w:r w:rsidRPr="006C4A3F">
        <w:rPr>
          <w:b/>
          <w:bCs/>
          <w:lang w:val="en-US" w:eastAsia="ja-JP"/>
        </w:rPr>
        <w:t>Public Culture</w:t>
      </w:r>
      <w:r w:rsidRPr="006C4A3F">
        <w:rPr>
          <w:lang w:val="en-US" w:eastAsia="ja-JP"/>
        </w:rPr>
        <w:t>, v. 25, n. 1 69, p. 85–114, 2013.</w:t>
      </w:r>
      <w:proofErr w:type="gramEnd"/>
      <w:r w:rsidRPr="006C4A3F">
        <w:rPr>
          <w:lang w:val="en-US" w:eastAsia="ja-JP"/>
        </w:rPr>
        <w:t xml:space="preserve"> </w:t>
      </w:r>
    </w:p>
    <w:p w14:paraId="7A6DC740" w14:textId="658C650B" w:rsidR="003A3DE2" w:rsidRPr="00BE6395" w:rsidRDefault="00D333A5" w:rsidP="004A4B52">
      <w:pPr>
        <w:pStyle w:val="Heading1"/>
        <w:rPr>
          <w:noProof/>
        </w:rPr>
      </w:pPr>
      <w:r>
        <w:rPr>
          <w:noProof/>
        </w:rPr>
        <w:t>PARTE 2</w:t>
      </w:r>
      <w:r w:rsidR="003A3DE2" w:rsidRPr="00BE6395">
        <w:rPr>
          <w:noProof/>
        </w:rPr>
        <w:t xml:space="preserve"> – CIDADE E MOBILIDADE</w:t>
      </w:r>
    </w:p>
    <w:p w14:paraId="16B3B635" w14:textId="033A4254" w:rsidR="00F943B0" w:rsidRDefault="00D333A5" w:rsidP="00120CFE">
      <w:pPr>
        <w:pStyle w:val="Heading2"/>
        <w:rPr>
          <w:noProof/>
        </w:rPr>
      </w:pPr>
      <w:r>
        <w:rPr>
          <w:noProof/>
        </w:rPr>
        <w:t>1</w:t>
      </w:r>
      <w:r w:rsidR="00054F00">
        <w:rPr>
          <w:noProof/>
        </w:rPr>
        <w:t xml:space="preserve">. </w:t>
      </w:r>
      <w:r w:rsidR="0000103B" w:rsidRPr="00BE6395">
        <w:rPr>
          <w:noProof/>
        </w:rPr>
        <w:t xml:space="preserve">Produção dos espaços intra-urbanos: </w:t>
      </w:r>
      <w:r w:rsidR="00AD07DB">
        <w:rPr>
          <w:noProof/>
        </w:rPr>
        <w:t xml:space="preserve">redes urbanas e </w:t>
      </w:r>
      <w:r w:rsidR="0000103B" w:rsidRPr="00BE6395">
        <w:rPr>
          <w:noProof/>
        </w:rPr>
        <w:t xml:space="preserve">mobilidades </w:t>
      </w:r>
      <w:r w:rsidR="00AD07DB">
        <w:rPr>
          <w:noProof/>
        </w:rPr>
        <w:t>espaciais</w:t>
      </w:r>
    </w:p>
    <w:p w14:paraId="4DBA431F" w14:textId="6D0F4E7B" w:rsidR="00F943B0" w:rsidRDefault="003A3DE2" w:rsidP="00120CFE">
      <w:pPr>
        <w:ind w:left="360"/>
        <w:rPr>
          <w:noProof/>
        </w:rPr>
      </w:pPr>
      <w:r w:rsidRPr="00BE6395">
        <w:rPr>
          <w:noProof/>
        </w:rPr>
        <w:t>VILLAÇA</w:t>
      </w:r>
      <w:r w:rsidR="00B23326" w:rsidRPr="00BE6395">
        <w:rPr>
          <w:noProof/>
        </w:rPr>
        <w:t>, Flavio. Espaço intra-urbano no Brasil. São Paulo: Studio Nobel/Fapesp, 2001. Capitulo 2: Espaço intra-urbano, esse desconhecido. Pps 17-48</w:t>
      </w:r>
    </w:p>
    <w:p w14:paraId="07955FAE" w14:textId="7F42A6D7" w:rsidR="00AD07DB" w:rsidRPr="00120CFE" w:rsidRDefault="003A3DE2" w:rsidP="00120CFE">
      <w:pPr>
        <w:ind w:left="360"/>
        <w:rPr>
          <w:noProof/>
          <w:color w:val="0000FF"/>
          <w:u w:val="single"/>
        </w:rPr>
      </w:pPr>
      <w:r w:rsidRPr="00BE6395">
        <w:rPr>
          <w:noProof/>
        </w:rPr>
        <w:t xml:space="preserve">TELLES, Vera. S. A cidade nas fronteiras do legal e ilegal. Belo Horizonte: Editora Argvmentvm, 2010. Capitulo 2: Perspectivas descritivas (pp.85-110). Disponivel para download in: </w:t>
      </w:r>
      <w:hyperlink r:id="rId10" w:history="1">
        <w:r w:rsidRPr="00BE6395">
          <w:rPr>
            <w:rStyle w:val="Hyperlink"/>
            <w:noProof/>
          </w:rPr>
          <w:t>http://www.veratelles.net</w:t>
        </w:r>
      </w:hyperlink>
    </w:p>
    <w:p w14:paraId="5FC0365C" w14:textId="3EA857B3" w:rsidR="00AD07DB" w:rsidRPr="00AD07DB" w:rsidRDefault="00AD07DB" w:rsidP="00120CFE">
      <w:pPr>
        <w:pStyle w:val="Heading2"/>
        <w:rPr>
          <w:noProof/>
        </w:rPr>
      </w:pPr>
      <w:r>
        <w:rPr>
          <w:noProof/>
        </w:rPr>
        <w:t xml:space="preserve">2. </w:t>
      </w:r>
      <w:r w:rsidRPr="00A757A4">
        <w:rPr>
          <w:noProof/>
        </w:rPr>
        <w:t>Mobilidades ampliadas e suas questões</w:t>
      </w:r>
    </w:p>
    <w:p w14:paraId="6BF248FA" w14:textId="2B0DEE10" w:rsidR="00AD07DB" w:rsidRPr="00AD07DB" w:rsidRDefault="004076CE" w:rsidP="00225B63">
      <w:pPr>
        <w:pStyle w:val="Heading3"/>
      </w:pPr>
      <w:r>
        <w:t>a. Mobilidade: espaço de referência e categoria de aná</w:t>
      </w:r>
      <w:r w:rsidR="00AD07DB" w:rsidRPr="00A757A4">
        <w:t>lise. Novos paradigmas? Polêmicas.</w:t>
      </w:r>
    </w:p>
    <w:p w14:paraId="15D99077" w14:textId="28233431" w:rsidR="00AD07DB" w:rsidRPr="00A757A4" w:rsidRDefault="00AD07DB" w:rsidP="00120CFE">
      <w:pPr>
        <w:ind w:left="360"/>
        <w:rPr>
          <w:noProof/>
        </w:rPr>
      </w:pPr>
      <w:r w:rsidRPr="00A757A4">
        <w:rPr>
          <w:noProof/>
        </w:rPr>
        <w:t xml:space="preserve">Hurry, John. Sociology beyond societies: mobilities for the twenty-first century. London/New York: Routledge, 2000. </w:t>
      </w:r>
      <w:r w:rsidR="00120CFE" w:rsidRPr="00BE6395">
        <w:rPr>
          <w:noProof/>
        </w:rPr>
        <w:t xml:space="preserve">Capitulo 1: Societies (pp.1-21); Capitulo 2: metaphors (21-49); Capitulo 8: sociologies (pp.188-211) </w:t>
      </w:r>
    </w:p>
    <w:p w14:paraId="6F873070" w14:textId="305A3C1D" w:rsidR="00296713" w:rsidRPr="00120CFE" w:rsidRDefault="00AD07DB" w:rsidP="00296713">
      <w:pPr>
        <w:ind w:left="360"/>
        <w:rPr>
          <w:noProof/>
        </w:rPr>
      </w:pPr>
      <w:r w:rsidRPr="00A757A4">
        <w:rPr>
          <w:noProof/>
        </w:rPr>
        <w:t>APPADURAI, Arjun. Soberania sem territorialidade. Notas para uma geografia pós-nacional. Novos Estudos, no. 49, novembro 1997, pp. 33-46. Disponível on-line - site Cebrap e Scielo</w:t>
      </w:r>
    </w:p>
    <w:p w14:paraId="0733AB4E" w14:textId="4025771F" w:rsidR="00AD07DB" w:rsidRPr="00A757A4" w:rsidRDefault="00AD07DB" w:rsidP="00225B63">
      <w:pPr>
        <w:pStyle w:val="Heading3"/>
      </w:pPr>
      <w:r w:rsidRPr="00A757A4">
        <w:t>b. M</w:t>
      </w:r>
      <w:r>
        <w:t>obilidades e gestao das populaçõ</w:t>
      </w:r>
      <w:r w:rsidRPr="00A757A4">
        <w:t>es: deslocamentos das fronteiras da lei</w:t>
      </w:r>
    </w:p>
    <w:p w14:paraId="56BE14D8" w14:textId="3D13EE66" w:rsidR="00AD07DB" w:rsidRPr="00A757A4" w:rsidRDefault="00AD07DB" w:rsidP="00120CFE">
      <w:pPr>
        <w:ind w:left="360"/>
        <w:rPr>
          <w:noProof/>
        </w:rPr>
      </w:pPr>
      <w:r w:rsidRPr="00A757A4">
        <w:rPr>
          <w:noProof/>
        </w:rPr>
        <w:t xml:space="preserve">DIDIER, B. Freedom and speed in enlarged borderzones. In: SQUIRE, V. (Ed.). The contestes politics of mobility. Borderzones and irregularity. Routledge, 2010. p. 1–25. </w:t>
      </w:r>
    </w:p>
    <w:p w14:paraId="5243CAA9" w14:textId="0DC2A8B6" w:rsidR="00120CFE" w:rsidRPr="00120CFE" w:rsidRDefault="00120CFE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b/>
          <w:lang w:val="en-US" w:eastAsia="ja-JP"/>
        </w:rPr>
      </w:pPr>
      <w:proofErr w:type="spellStart"/>
      <w:r w:rsidRPr="00120CFE">
        <w:rPr>
          <w:rFonts w:eastAsiaTheme="minorEastAsia" w:cs="Arial"/>
          <w:b/>
          <w:lang w:val="en-US" w:eastAsia="ja-JP"/>
        </w:rPr>
        <w:t>Texto</w:t>
      </w:r>
      <w:proofErr w:type="spellEnd"/>
      <w:r w:rsidRPr="00120CFE">
        <w:rPr>
          <w:rFonts w:eastAsiaTheme="minorEastAsia" w:cs="Arial"/>
          <w:b/>
          <w:lang w:val="en-US" w:eastAsia="ja-JP"/>
        </w:rPr>
        <w:t xml:space="preserve"> de </w:t>
      </w:r>
      <w:proofErr w:type="spellStart"/>
      <w:r w:rsidRPr="00120CFE">
        <w:rPr>
          <w:rFonts w:eastAsiaTheme="minorEastAsia" w:cs="Arial"/>
          <w:b/>
          <w:lang w:val="en-US" w:eastAsia="ja-JP"/>
        </w:rPr>
        <w:t>apoio</w:t>
      </w:r>
      <w:proofErr w:type="spellEnd"/>
      <w:r w:rsidRPr="00120CFE">
        <w:rPr>
          <w:rFonts w:eastAsiaTheme="minorEastAsia" w:cs="Arial"/>
          <w:b/>
          <w:lang w:val="en-US" w:eastAsia="ja-JP"/>
        </w:rPr>
        <w:t>:</w:t>
      </w:r>
    </w:p>
    <w:p w14:paraId="74422EF4" w14:textId="77777777" w:rsidR="00AD07DB" w:rsidRDefault="00AD07DB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proofErr w:type="spellStart"/>
      <w:r w:rsidRPr="00A757A4">
        <w:rPr>
          <w:rFonts w:eastAsiaTheme="minorEastAsia" w:cs="Arial"/>
          <w:lang w:val="en-US" w:eastAsia="ja-JP"/>
        </w:rPr>
        <w:t>BIGO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</w:t>
      </w:r>
      <w:proofErr w:type="spellStart"/>
      <w:r w:rsidRPr="00A757A4">
        <w:rPr>
          <w:rFonts w:eastAsiaTheme="minorEastAsia" w:cs="Arial"/>
          <w:lang w:val="en-US" w:eastAsia="ja-JP"/>
        </w:rPr>
        <w:t>DIdier</w:t>
      </w:r>
      <w:proofErr w:type="spellEnd"/>
      <w:r w:rsidRPr="00A757A4">
        <w:rPr>
          <w:rFonts w:eastAsiaTheme="minorEastAsia" w:cs="Arial"/>
          <w:lang w:val="en-US" w:eastAsia="ja-JP"/>
        </w:rPr>
        <w:t xml:space="preserve">. </w:t>
      </w:r>
      <w:proofErr w:type="gramStart"/>
      <w:r w:rsidRPr="00A757A4">
        <w:rPr>
          <w:rFonts w:eastAsiaTheme="minorEastAsia" w:cs="Arial"/>
          <w:lang w:val="en-US" w:eastAsia="ja-JP"/>
        </w:rPr>
        <w:t xml:space="preserve">Du </w:t>
      </w:r>
      <w:proofErr w:type="spellStart"/>
      <w:r w:rsidRPr="00A757A4">
        <w:rPr>
          <w:rFonts w:eastAsiaTheme="minorEastAsia" w:cs="Arial"/>
          <w:lang w:val="en-US" w:eastAsia="ja-JP"/>
        </w:rPr>
        <w:t>panoptisme</w:t>
      </w:r>
      <w:proofErr w:type="spellEnd"/>
      <w:r w:rsidRPr="00A757A4">
        <w:rPr>
          <w:rFonts w:eastAsiaTheme="minorEastAsia" w:cs="Arial"/>
          <w:lang w:val="en-US" w:eastAsia="ja-JP"/>
        </w:rPr>
        <w:t xml:space="preserve"> au </w:t>
      </w:r>
      <w:proofErr w:type="spellStart"/>
      <w:r w:rsidRPr="00A757A4">
        <w:rPr>
          <w:rFonts w:eastAsiaTheme="minorEastAsia" w:cs="Arial"/>
          <w:lang w:val="en-US" w:eastAsia="ja-JP"/>
        </w:rPr>
        <w:t>banoptisme</w:t>
      </w:r>
      <w:proofErr w:type="spellEnd"/>
      <w:r w:rsidRPr="00A757A4">
        <w:rPr>
          <w:rFonts w:eastAsiaTheme="minorEastAsia" w:cs="Arial"/>
          <w:lang w:val="en-US" w:eastAsia="ja-JP"/>
        </w:rPr>
        <w:t>.</w:t>
      </w:r>
      <w:proofErr w:type="gramEnd"/>
      <w:r w:rsidRPr="00A757A4">
        <w:rPr>
          <w:rFonts w:eastAsiaTheme="minorEastAsia" w:cs="Arial"/>
          <w:lang w:val="en-US" w:eastAsia="ja-JP"/>
        </w:rPr>
        <w:t xml:space="preserve"> In: </w:t>
      </w:r>
      <w:proofErr w:type="spellStart"/>
      <w:r w:rsidRPr="00A757A4">
        <w:rPr>
          <w:rFonts w:eastAsiaTheme="minorEastAsia" w:cs="Arial"/>
          <w:lang w:val="en-US" w:eastAsia="ja-JP"/>
        </w:rPr>
        <w:t>CHARDEL</w:t>
      </w:r>
      <w:proofErr w:type="spellEnd"/>
      <w:r w:rsidRPr="00A757A4">
        <w:rPr>
          <w:rFonts w:eastAsiaTheme="minorEastAsia" w:cs="Arial"/>
          <w:lang w:val="en-US" w:eastAsia="ja-JP"/>
        </w:rPr>
        <w:t>, P. A.</w:t>
      </w:r>
      <w:proofErr w:type="gramStart"/>
      <w:r w:rsidRPr="00A757A4">
        <w:rPr>
          <w:rFonts w:eastAsiaTheme="minorEastAsia" w:cs="Arial"/>
          <w:lang w:val="en-US" w:eastAsia="ja-JP"/>
        </w:rPr>
        <w:t>;</w:t>
      </w:r>
      <w:proofErr w:type="gramEnd"/>
      <w:r w:rsidRPr="00A757A4">
        <w:rPr>
          <w:rFonts w:eastAsiaTheme="minorEastAsia" w:cs="Arial"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lang w:val="en-US" w:eastAsia="ja-JP"/>
        </w:rPr>
        <w:t>ROCKHILL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G. (Eds.). </w:t>
      </w:r>
      <w:r w:rsidRPr="00A757A4">
        <w:rPr>
          <w:rFonts w:eastAsiaTheme="minorEastAsia" w:cs="Arial"/>
          <w:b/>
          <w:bCs/>
          <w:lang w:val="en-US" w:eastAsia="ja-JP"/>
        </w:rPr>
        <w:t xml:space="preserve">Technologies de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contrôle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dans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la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mondialisation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: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enjeux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politiques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,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éthiques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et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esthetiques</w:t>
      </w:r>
      <w:proofErr w:type="spellEnd"/>
      <w:proofErr w:type="gramStart"/>
      <w:r w:rsidRPr="00A757A4">
        <w:rPr>
          <w:rFonts w:eastAsiaTheme="minorEastAsia" w:cs="Arial"/>
          <w:lang w:val="en-US" w:eastAsia="ja-JP"/>
        </w:rPr>
        <w:t>..</w:t>
      </w:r>
      <w:proofErr w:type="gramEnd"/>
      <w:r w:rsidRPr="00A757A4">
        <w:rPr>
          <w:rFonts w:eastAsiaTheme="minorEastAsia" w:cs="Arial"/>
          <w:lang w:val="en-US" w:eastAsia="ja-JP"/>
        </w:rPr>
        <w:t xml:space="preserve"> Paris: Editions </w:t>
      </w:r>
      <w:proofErr w:type="spellStart"/>
      <w:r w:rsidRPr="00A757A4">
        <w:rPr>
          <w:rFonts w:eastAsiaTheme="minorEastAsia" w:cs="Arial"/>
          <w:lang w:val="en-US" w:eastAsia="ja-JP"/>
        </w:rPr>
        <w:t>Kimé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2010. p. 1–18. </w:t>
      </w:r>
    </w:p>
    <w:p w14:paraId="692D3757" w14:textId="6FA976DD" w:rsidR="003E6816" w:rsidRPr="00A757A4" w:rsidRDefault="003E6816" w:rsidP="003E6816">
      <w:pPr>
        <w:rPr>
          <w:rFonts w:cs="Arial"/>
          <w:b/>
          <w:noProof/>
        </w:rPr>
      </w:pPr>
      <w:r w:rsidRPr="00A757A4">
        <w:rPr>
          <w:rFonts w:cs="Arial"/>
          <w:b/>
          <w:noProof/>
        </w:rPr>
        <w:t>c. M</w:t>
      </w:r>
      <w:r w:rsidR="004076CE">
        <w:rPr>
          <w:rFonts w:cs="Arial"/>
          <w:b/>
          <w:noProof/>
        </w:rPr>
        <w:t>obilidades e gestao das populaçõ</w:t>
      </w:r>
      <w:r w:rsidRPr="00A757A4">
        <w:rPr>
          <w:rFonts w:cs="Arial"/>
          <w:b/>
          <w:noProof/>
        </w:rPr>
        <w:t>es: espacos e lugares redefinidos</w:t>
      </w:r>
    </w:p>
    <w:p w14:paraId="06B0F91F" w14:textId="3928DA08" w:rsidR="003E6816" w:rsidRPr="00225B63" w:rsidRDefault="003E6816" w:rsidP="00225B63">
      <w:pPr>
        <w:pStyle w:val="Heading3"/>
        <w:ind w:left="360"/>
      </w:pPr>
      <w:r w:rsidRPr="00225B63">
        <w:t xml:space="preserve">AGIER, Michel. From Refuge the Ghetto. p. 1–28, 29 maio 2011. </w:t>
      </w:r>
    </w:p>
    <w:p w14:paraId="2F254722" w14:textId="19ED783D" w:rsidR="003E6816" w:rsidRPr="003E6816" w:rsidRDefault="003E6816" w:rsidP="003E6816">
      <w:pPr>
        <w:ind w:left="360"/>
        <w:rPr>
          <w:rFonts w:eastAsiaTheme="minorEastAsia" w:cs="Arial"/>
          <w:b/>
          <w:noProof/>
        </w:rPr>
      </w:pPr>
      <w:r w:rsidRPr="003E6816">
        <w:rPr>
          <w:rFonts w:eastAsiaTheme="minorEastAsia" w:cs="Arial"/>
          <w:b/>
          <w:noProof/>
        </w:rPr>
        <w:t>Texto de apoio</w:t>
      </w:r>
      <w:r>
        <w:rPr>
          <w:rFonts w:eastAsiaTheme="minorEastAsia" w:cs="Arial"/>
          <w:b/>
          <w:noProof/>
        </w:rPr>
        <w:t>:</w:t>
      </w:r>
    </w:p>
    <w:p w14:paraId="4E51DF0C" w14:textId="6F412F88" w:rsidR="003E6816" w:rsidRPr="00A757A4" w:rsidRDefault="003E6816" w:rsidP="003E6816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>AGIER, Michel. Gérer les indésirable</w:t>
      </w:r>
      <w:r w:rsidR="00225B63">
        <w:rPr>
          <w:rFonts w:eastAsiaTheme="minorEastAsia" w:cs="Arial"/>
          <w:noProof/>
        </w:rPr>
        <w:t>s</w:t>
      </w:r>
      <w:r w:rsidRPr="00A757A4">
        <w:rPr>
          <w:rFonts w:eastAsiaTheme="minorEastAsia" w:cs="Arial"/>
          <w:noProof/>
        </w:rPr>
        <w:t>: des camps de refugiés au gouvernament humanitarie. Paris: Flammarion, 2008</w:t>
      </w:r>
    </w:p>
    <w:p w14:paraId="4E2156B7" w14:textId="0964F40B" w:rsidR="00AD07DB" w:rsidRPr="00A757A4" w:rsidRDefault="004076CE" w:rsidP="004076CE">
      <w:pPr>
        <w:pStyle w:val="Heading2"/>
        <w:rPr>
          <w:noProof/>
        </w:rPr>
      </w:pPr>
      <w:r>
        <w:rPr>
          <w:noProof/>
        </w:rPr>
        <w:t>3</w:t>
      </w:r>
      <w:r w:rsidR="00225B63">
        <w:rPr>
          <w:noProof/>
        </w:rPr>
        <w:t>. Cidade: gestã</w:t>
      </w:r>
      <w:r w:rsidR="00AD07DB" w:rsidRPr="00A757A4">
        <w:rPr>
          <w:noProof/>
        </w:rPr>
        <w:t>o das populações</w:t>
      </w:r>
    </w:p>
    <w:p w14:paraId="700881FE" w14:textId="77777777" w:rsidR="00AD07DB" w:rsidRPr="00A757A4" w:rsidRDefault="00AD07DB" w:rsidP="00AD07DB">
      <w:pPr>
        <w:pStyle w:val="Heading2"/>
        <w:rPr>
          <w:noProof/>
        </w:rPr>
      </w:pPr>
      <w:r w:rsidRPr="00A757A4">
        <w:rPr>
          <w:noProof/>
        </w:rPr>
        <w:t>a. Novas figuras do urbanismo</w:t>
      </w:r>
    </w:p>
    <w:p w14:paraId="61CCCE08" w14:textId="40AD8F87" w:rsidR="00AD07DB" w:rsidRPr="00AD07DB" w:rsidRDefault="00AD07DB" w:rsidP="00120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r w:rsidRPr="00AD07DB">
        <w:rPr>
          <w:rFonts w:eastAsiaTheme="minorEastAsia" w:cs="Arial"/>
          <w:lang w:val="en-US" w:eastAsia="ja-JP"/>
        </w:rPr>
        <w:t xml:space="preserve">LANDAUER, Paul. L’architecte: la ville et la sécurité. Paris: PUF, 2009. </w:t>
      </w:r>
    </w:p>
    <w:p w14:paraId="365F7A81" w14:textId="491E9D31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GRAHAM, S. Cities Under Siege: The New Military Urbanism. Traducao. London/New York: Verso Books, 2011. </w:t>
      </w:r>
      <w:r w:rsidR="00120CFE" w:rsidRPr="00BE6395">
        <w:rPr>
          <w:noProof/>
        </w:rPr>
        <w:t>Capitulo 1: war-re-enters  the cities. Capitulo 3: the new military urbanism.</w:t>
      </w:r>
    </w:p>
    <w:p w14:paraId="0891A919" w14:textId="030A81CF" w:rsidR="00AD07DB" w:rsidRPr="00225B63" w:rsidRDefault="00716E59" w:rsidP="00225B63">
      <w:pPr>
        <w:ind w:firstLine="360"/>
        <w:rPr>
          <w:b/>
          <w:noProof/>
        </w:rPr>
      </w:pPr>
      <w:r w:rsidRPr="00225B63">
        <w:rPr>
          <w:b/>
          <w:noProof/>
        </w:rPr>
        <w:t>Textos de apoio</w:t>
      </w:r>
    </w:p>
    <w:p w14:paraId="07EB89D9" w14:textId="7B7BF557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BECKETT, K.; HERBERT, S. Dealing with desorder: social control post industrial. Theoretical Criminology, v. 12, n. 5, p. 5–30, 2008. </w:t>
      </w:r>
    </w:p>
    <w:p w14:paraId="3DE226D6" w14:textId="77777777" w:rsidR="00AD07DB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MERRY, S. E. Spatial governmentality and the New Urban Social Order. American Anthropologist, v. 103, p. 16–29, 2001. </w:t>
      </w:r>
    </w:p>
    <w:p w14:paraId="0962186C" w14:textId="56BA726A" w:rsidR="00AD07DB" w:rsidRPr="00A757A4" w:rsidRDefault="00225B63" w:rsidP="00120CFE">
      <w:pPr>
        <w:pStyle w:val="Heading2"/>
        <w:rPr>
          <w:noProof/>
        </w:rPr>
      </w:pPr>
      <w:r>
        <w:rPr>
          <w:noProof/>
        </w:rPr>
        <w:t>b</w:t>
      </w:r>
      <w:r w:rsidR="00AD07DB" w:rsidRPr="00A757A4">
        <w:rPr>
          <w:noProof/>
        </w:rPr>
        <w:t xml:space="preserve">. </w:t>
      </w:r>
      <w:r w:rsidR="00AD07DB">
        <w:rPr>
          <w:noProof/>
        </w:rPr>
        <w:t xml:space="preserve"> Perspectivas do “Sul Global”: “t</w:t>
      </w:r>
      <w:r w:rsidR="00AD07DB" w:rsidRPr="00A757A4">
        <w:rPr>
          <w:noProof/>
        </w:rPr>
        <w:t>erritórios da pobreza”</w:t>
      </w:r>
      <w:r w:rsidR="00AD07DB">
        <w:rPr>
          <w:noProof/>
        </w:rPr>
        <w:t xml:space="preserve"> como </w:t>
      </w:r>
      <w:r w:rsidR="00AD07DB" w:rsidRPr="00A757A4">
        <w:rPr>
          <w:noProof/>
        </w:rPr>
        <w:t xml:space="preserve">fronteiras de </w:t>
      </w:r>
      <w:r w:rsidR="00AD07DB">
        <w:rPr>
          <w:noProof/>
        </w:rPr>
        <w:t>circulação dos capitais e expansã</w:t>
      </w:r>
      <w:r w:rsidR="00AD07DB" w:rsidRPr="00A757A4">
        <w:rPr>
          <w:noProof/>
        </w:rPr>
        <w:t>o dos mercados</w:t>
      </w:r>
    </w:p>
    <w:p w14:paraId="2A700F95" w14:textId="5D7FF6BA" w:rsidR="00120CFE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ROY, A. Civic Governmentality: The Politics of Inclusion in Beirut and Mumbai. Antipode, v. 41, n. 1, p. 159–179, 2009. </w:t>
      </w:r>
    </w:p>
    <w:p w14:paraId="6D908513" w14:textId="77777777" w:rsidR="00AD07DB" w:rsidRPr="00A757A4" w:rsidRDefault="00AD07DB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MCFARLANE, C. The Entrepreneurial Slum: Civil Society, Mobility and the Co-production of Urban Development. Urban Studies, v. 49, n. 13, p. 2795–2816, 2012.</w:t>
      </w:r>
    </w:p>
    <w:p w14:paraId="7BF1DBDF" w14:textId="11291B9C" w:rsidR="00120CFE" w:rsidRPr="00120CFE" w:rsidRDefault="00120CFE" w:rsidP="00120CFE">
      <w:pPr>
        <w:pStyle w:val="Heading1"/>
        <w:rPr>
          <w:noProof/>
        </w:rPr>
      </w:pPr>
      <w:r>
        <w:rPr>
          <w:noProof/>
        </w:rPr>
        <w:t>PARTE III</w:t>
      </w:r>
      <w:r w:rsidR="00AD07DB" w:rsidRPr="00A757A4">
        <w:rPr>
          <w:noProof/>
        </w:rPr>
        <w:t xml:space="preserve"> – Espaço, mercado e as “rebels cities</w:t>
      </w:r>
    </w:p>
    <w:p w14:paraId="3BB55686" w14:textId="77777777" w:rsidR="00AD07DB" w:rsidRPr="00120CFE" w:rsidRDefault="00AD07DB" w:rsidP="00120CFE">
      <w:pPr>
        <w:ind w:left="360"/>
        <w:rPr>
          <w:rFonts w:cs="Arial"/>
          <w:noProof/>
        </w:rPr>
      </w:pPr>
      <w:r w:rsidRPr="00120CFE">
        <w:rPr>
          <w:rFonts w:cs="Arial"/>
          <w:noProof/>
        </w:rPr>
        <w:t>HARVEY, D. Rebel Cities: from the right to the city to the urban revolution.. London/New York: Verso, 2012.</w:t>
      </w:r>
    </w:p>
    <w:p w14:paraId="08843F80" w14:textId="77777777" w:rsidR="00AD07DB" w:rsidRPr="00BE6395" w:rsidRDefault="00AD07DB" w:rsidP="003A3DE2">
      <w:pPr>
        <w:ind w:left="360"/>
        <w:rPr>
          <w:noProof/>
        </w:rPr>
      </w:pPr>
    </w:p>
    <w:sectPr w:rsidR="00AD07DB" w:rsidRPr="00BE6395" w:rsidSect="00883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37CD" w14:textId="77777777" w:rsidR="00716E59" w:rsidRDefault="00716E59" w:rsidP="003A3DE2">
      <w:r>
        <w:separator/>
      </w:r>
    </w:p>
  </w:endnote>
  <w:endnote w:type="continuationSeparator" w:id="0">
    <w:p w14:paraId="429E4147" w14:textId="77777777" w:rsidR="00716E59" w:rsidRDefault="00716E59" w:rsidP="003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3D2" w14:textId="77777777" w:rsidR="00716E59" w:rsidRDefault="00716E59" w:rsidP="003A3DE2">
      <w:r>
        <w:separator/>
      </w:r>
    </w:p>
  </w:footnote>
  <w:footnote w:type="continuationSeparator" w:id="0">
    <w:p w14:paraId="51039028" w14:textId="77777777" w:rsidR="00716E59" w:rsidRDefault="00716E59" w:rsidP="003A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EA"/>
    <w:multiLevelType w:val="hybridMultilevel"/>
    <w:tmpl w:val="BBAC414C"/>
    <w:lvl w:ilvl="0" w:tplc="C6EE15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B14AF"/>
    <w:multiLevelType w:val="hybridMultilevel"/>
    <w:tmpl w:val="0226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2ED"/>
    <w:multiLevelType w:val="hybridMultilevel"/>
    <w:tmpl w:val="42D8AF70"/>
    <w:lvl w:ilvl="0" w:tplc="D0A4C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86E"/>
    <w:multiLevelType w:val="multilevel"/>
    <w:tmpl w:val="586A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3406B"/>
    <w:multiLevelType w:val="hybridMultilevel"/>
    <w:tmpl w:val="586A44E8"/>
    <w:lvl w:ilvl="0" w:tplc="1B8A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81AB2"/>
    <w:multiLevelType w:val="hybridMultilevel"/>
    <w:tmpl w:val="55CE1478"/>
    <w:lvl w:ilvl="0" w:tplc="1C6478B0">
      <w:start w:val="1"/>
      <w:numFmt w:val="upperRoman"/>
      <w:pStyle w:val="Heading1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209B"/>
    <w:multiLevelType w:val="hybridMultilevel"/>
    <w:tmpl w:val="F25A2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D7E"/>
    <w:multiLevelType w:val="hybridMultilevel"/>
    <w:tmpl w:val="A88C6F12"/>
    <w:lvl w:ilvl="0" w:tplc="2C6A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C47E1"/>
    <w:multiLevelType w:val="hybridMultilevel"/>
    <w:tmpl w:val="8C38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0103B"/>
    <w:rsid w:val="00006093"/>
    <w:rsid w:val="00054F00"/>
    <w:rsid w:val="000947C1"/>
    <w:rsid w:val="000C3BD8"/>
    <w:rsid w:val="000D2128"/>
    <w:rsid w:val="00120CFE"/>
    <w:rsid w:val="00132D20"/>
    <w:rsid w:val="00187FD9"/>
    <w:rsid w:val="001C45A1"/>
    <w:rsid w:val="00225B63"/>
    <w:rsid w:val="00244227"/>
    <w:rsid w:val="002455CE"/>
    <w:rsid w:val="002573D3"/>
    <w:rsid w:val="00272FC0"/>
    <w:rsid w:val="00287AB6"/>
    <w:rsid w:val="00296713"/>
    <w:rsid w:val="002C0353"/>
    <w:rsid w:val="002D0B42"/>
    <w:rsid w:val="002F29FF"/>
    <w:rsid w:val="0031649C"/>
    <w:rsid w:val="003423E4"/>
    <w:rsid w:val="003A3DE2"/>
    <w:rsid w:val="003A4BC7"/>
    <w:rsid w:val="003E6816"/>
    <w:rsid w:val="003F6FC2"/>
    <w:rsid w:val="004076CE"/>
    <w:rsid w:val="004158FE"/>
    <w:rsid w:val="00425E81"/>
    <w:rsid w:val="0046627C"/>
    <w:rsid w:val="00492088"/>
    <w:rsid w:val="004A4B52"/>
    <w:rsid w:val="004D1FC3"/>
    <w:rsid w:val="005102DB"/>
    <w:rsid w:val="00531B05"/>
    <w:rsid w:val="00531E69"/>
    <w:rsid w:val="00567D7E"/>
    <w:rsid w:val="005D2B45"/>
    <w:rsid w:val="00626EC5"/>
    <w:rsid w:val="00675CB3"/>
    <w:rsid w:val="0068426D"/>
    <w:rsid w:val="006C4A3F"/>
    <w:rsid w:val="006E16C7"/>
    <w:rsid w:val="00716E59"/>
    <w:rsid w:val="00746EE3"/>
    <w:rsid w:val="00883E3E"/>
    <w:rsid w:val="008D4CC3"/>
    <w:rsid w:val="00906514"/>
    <w:rsid w:val="00962283"/>
    <w:rsid w:val="00965CC7"/>
    <w:rsid w:val="009C1D67"/>
    <w:rsid w:val="009E75D9"/>
    <w:rsid w:val="009F7DBF"/>
    <w:rsid w:val="00A92A8E"/>
    <w:rsid w:val="00AD07DB"/>
    <w:rsid w:val="00AD5336"/>
    <w:rsid w:val="00AE6E77"/>
    <w:rsid w:val="00B147C2"/>
    <w:rsid w:val="00B23326"/>
    <w:rsid w:val="00B94679"/>
    <w:rsid w:val="00BC7D56"/>
    <w:rsid w:val="00BE6395"/>
    <w:rsid w:val="00C01F67"/>
    <w:rsid w:val="00C07F89"/>
    <w:rsid w:val="00C84B98"/>
    <w:rsid w:val="00CA6FF3"/>
    <w:rsid w:val="00D25BB6"/>
    <w:rsid w:val="00D333A5"/>
    <w:rsid w:val="00E6044F"/>
    <w:rsid w:val="00E776E4"/>
    <w:rsid w:val="00EB6123"/>
    <w:rsid w:val="00EF529E"/>
    <w:rsid w:val="00F217BE"/>
    <w:rsid w:val="00F37159"/>
    <w:rsid w:val="00F524E9"/>
    <w:rsid w:val="00F912DD"/>
    <w:rsid w:val="00F943B0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0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5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5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atelles.net" TargetMode="External"/><Relationship Id="rId9" Type="http://schemas.openxmlformats.org/officeDocument/2006/relationships/hyperlink" Target="http://www.veratelles.net" TargetMode="External"/><Relationship Id="rId10" Type="http://schemas.openxmlformats.org/officeDocument/2006/relationships/hyperlink" Target="http://www.veratel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5581</Characters>
  <Application>Microsoft Macintosh Word</Application>
  <DocSecurity>0</DocSecurity>
  <Lines>46</Lines>
  <Paragraphs>13</Paragraphs>
  <ScaleCrop>false</ScaleCrop>
  <Company>Home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da silva telles</dc:creator>
  <cp:keywords/>
  <dc:description/>
  <cp:lastModifiedBy>vera telles</cp:lastModifiedBy>
  <cp:revision>2</cp:revision>
  <cp:lastPrinted>2014-09-10T21:25:00Z</cp:lastPrinted>
  <dcterms:created xsi:type="dcterms:W3CDTF">2014-09-10T21:31:00Z</dcterms:created>
  <dcterms:modified xsi:type="dcterms:W3CDTF">2014-09-10T21:31:00Z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id="http://www.zotero.org/styles/associacao-brasileira-de-normas-tecnicas-note"/&gt;&lt;format class="22"/&gt;&lt;count citations="1" publications="3"/&gt;&lt;/info&gt;PAPERS2_INFO_END</vt:lpwstr>
  </property>
</Properties>
</file>