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02" w:rsidRDefault="00760AFD">
      <w:r>
        <w:t>Estudo de caso 2</w:t>
      </w:r>
      <w:r w:rsidR="00662DA2">
        <w:t xml:space="preserve"> – Área </w:t>
      </w:r>
      <w:r>
        <w:t>situada em região de solo mais argiloso, utilizada por 3</w:t>
      </w:r>
      <w:r w:rsidR="00662DA2">
        <w:t>0</w:t>
      </w:r>
      <w:r>
        <w:t xml:space="preserve"> anos, distante da área urbana 1.000 m, lençol freático a 3</w:t>
      </w:r>
      <w:r w:rsidR="00662DA2">
        <w:t xml:space="preserve"> </w:t>
      </w:r>
      <w:r>
        <w:t>m e presença de catadores.</w:t>
      </w:r>
    </w:p>
    <w:p w:rsidR="00760AFD" w:rsidRDefault="00760AFD">
      <w:r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5400040" cy="3597742"/>
            <wp:effectExtent l="0" t="0" r="0" b="3175"/>
            <wp:docPr id="2" name="Imagem 2" descr="https://raquelrolnik.files.wordpress.com/2015/09/lixao-da-estrutural-foto-senado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quelrolnik.files.wordpress.com/2015/09/lixao-da-estrutural-foto-senado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A2" w:rsidRDefault="00662DA2">
      <w:bookmarkStart w:id="0" w:name="_GoBack"/>
      <w:bookmarkEnd w:id="0"/>
    </w:p>
    <w:sectPr w:rsidR="0066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2"/>
    <w:rsid w:val="00662DA2"/>
    <w:rsid w:val="00735E91"/>
    <w:rsid w:val="00760AFD"/>
    <w:rsid w:val="009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1AA"/>
  <w15:chartTrackingRefBased/>
  <w15:docId w15:val="{3E7FA10B-E84D-4FB1-8F04-FE4DFCCF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br/url?sa=i&amp;rct=j&amp;q=&amp;esrc=s&amp;source=images&amp;cd=&amp;cad=rja&amp;uact=8&amp;ved=0ahUKEwiowvCkg77MAhWHhZAKHdkND0UQjRwIBw&amp;url=https%3A%2F%2Fraquelrolnik.wordpress.com%2F2015%2F09%2F10%2Fainda-somos-um-pais-de-lixoes%2F&amp;psig=AFQjCNFi-zrPmgXbt6CmyOGw641ASWXBcg&amp;ust=14623687037182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Ednilson</dc:creator>
  <cp:keywords/>
  <dc:description/>
  <cp:lastModifiedBy>Ednilson</cp:lastModifiedBy>
  <cp:revision>2</cp:revision>
  <dcterms:created xsi:type="dcterms:W3CDTF">2016-05-03T13:37:00Z</dcterms:created>
  <dcterms:modified xsi:type="dcterms:W3CDTF">2016-05-03T13:37:00Z</dcterms:modified>
</cp:coreProperties>
</file>