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E" w:rsidRPr="006C0A9E" w:rsidRDefault="006C0A9E" w:rsidP="006C0A9E">
      <w:pPr>
        <w:spacing w:line="240" w:lineRule="auto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3218815" cy="1416685"/>
            <wp:effectExtent l="19050" t="0" r="635" b="0"/>
            <wp:docPr id="1" name="Image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9E" w:rsidRPr="006C0A9E" w:rsidRDefault="006C0A9E" w:rsidP="006C0A9E">
      <w:pPr>
        <w:spacing w:after="125" w:line="240" w:lineRule="auto"/>
        <w:outlineLvl w:val="0"/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</w:pPr>
      <w:r w:rsidRPr="006C0A9E"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  <w:t xml:space="preserve">Gestão de Desempenhos: benefícios do sistema </w:t>
      </w:r>
      <w:proofErr w:type="spellStart"/>
      <w:r w:rsidRPr="006C0A9E">
        <w:rPr>
          <w:rFonts w:ascii="Arial" w:eastAsia="Times New Roman" w:hAnsi="Arial" w:cs="Arial"/>
          <w:color w:val="505559"/>
          <w:spacing w:val="4"/>
          <w:kern w:val="36"/>
          <w:sz w:val="30"/>
          <w:szCs w:val="30"/>
          <w:lang w:eastAsia="pt-BR"/>
        </w:rPr>
        <w:t>meritocrático</w:t>
      </w:r>
      <w:proofErr w:type="spellEnd"/>
    </w:p>
    <w:p w:rsidR="006C0A9E" w:rsidRPr="006C0A9E" w:rsidRDefault="006C0A9E" w:rsidP="006C0A9E">
      <w:pPr>
        <w:spacing w:after="0" w:line="240" w:lineRule="auto"/>
        <w:rPr>
          <w:rFonts w:ascii="Times New Roman" w:eastAsia="Times New Roman" w:hAnsi="Times New Roman" w:cs="Times New Roman"/>
          <w:color w:val="989FA8"/>
          <w:sz w:val="11"/>
          <w:szCs w:val="11"/>
          <w:lang w:eastAsia="pt-BR"/>
        </w:rPr>
      </w:pPr>
      <w:r w:rsidRPr="006C0A9E">
        <w:rPr>
          <w:rFonts w:ascii="Times New Roman" w:eastAsia="Times New Roman" w:hAnsi="Times New Roman" w:cs="Times New Roman"/>
          <w:color w:val="989FA8"/>
          <w:sz w:val="11"/>
          <w:lang w:eastAsia="pt-BR"/>
        </w:rPr>
        <w:t> </w:t>
      </w:r>
      <w:hyperlink r:id="rId5" w:history="1">
        <w:r w:rsidRPr="006C0A9E">
          <w:rPr>
            <w:rFonts w:ascii="Times New Roman" w:eastAsia="Times New Roman" w:hAnsi="Times New Roman" w:cs="Times New Roman"/>
            <w:color w:val="989FA8"/>
            <w:sz w:val="11"/>
            <w:u w:val="single"/>
            <w:lang w:eastAsia="pt-BR"/>
          </w:rPr>
          <w:t>23 de novembro de 2016</w:t>
        </w:r>
      </w:hyperlink>
      <w:r w:rsidRPr="006C0A9E">
        <w:rPr>
          <w:rFonts w:ascii="Times New Roman" w:eastAsia="Times New Roman" w:hAnsi="Times New Roman" w:cs="Times New Roman"/>
          <w:color w:val="989FA8"/>
          <w:sz w:val="11"/>
          <w:lang w:eastAsia="pt-BR"/>
        </w:rPr>
        <w:t>  </w:t>
      </w:r>
      <w:hyperlink r:id="rId6" w:history="1">
        <w:r w:rsidRPr="006C0A9E">
          <w:rPr>
            <w:rFonts w:ascii="Times New Roman" w:eastAsia="Times New Roman" w:hAnsi="Times New Roman" w:cs="Times New Roman"/>
            <w:color w:val="989FA8"/>
            <w:sz w:val="11"/>
            <w:u w:val="single"/>
            <w:lang w:eastAsia="pt-BR"/>
          </w:rPr>
          <w:t xml:space="preserve">Denise </w:t>
        </w:r>
        <w:proofErr w:type="spellStart"/>
        <w:r w:rsidRPr="006C0A9E">
          <w:rPr>
            <w:rFonts w:ascii="Times New Roman" w:eastAsia="Times New Roman" w:hAnsi="Times New Roman" w:cs="Times New Roman"/>
            <w:color w:val="989FA8"/>
            <w:sz w:val="11"/>
            <w:u w:val="single"/>
            <w:lang w:eastAsia="pt-BR"/>
          </w:rPr>
          <w:t>Lustri</w:t>
        </w:r>
        <w:proofErr w:type="spellEnd"/>
      </w:hyperlink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1971675" cy="1638300"/>
            <wp:effectExtent l="19050" t="0" r="9525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Entre os resultados e objetivos almejados pela empresa e os objetivos alcançados por ela, existem pessoas definindo rumos, planejando, decidindo, agindo, conduzindo programas e projetos, realizando atividades e tarefas.</w:t>
      </w:r>
    </w:p>
    <w:p w:rsidR="006C0A9E" w:rsidRPr="006C0A9E" w:rsidRDefault="006C0A9E" w:rsidP="006C0A9E">
      <w:pPr>
        <w:spacing w:after="83" w:line="240" w:lineRule="auto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Toda essa dinâmica influencia fortemente os resultados da organização. O desempenho humano é um dos mais importantes indicadores de tendência do desempenho organizacional.</w:t>
      </w:r>
    </w:p>
    <w:p w:rsidR="006C0A9E" w:rsidRPr="006C0A9E" w:rsidRDefault="006C0A9E" w:rsidP="006C0A9E">
      <w:pPr>
        <w:spacing w:before="166" w:after="83" w:line="240" w:lineRule="auto"/>
        <w:jc w:val="both"/>
        <w:outlineLvl w:val="2"/>
        <w:rPr>
          <w:rFonts w:ascii="Arial" w:eastAsia="Times New Roman" w:hAnsi="Arial" w:cs="Arial"/>
          <w:color w:val="505559"/>
          <w:spacing w:val="4"/>
          <w:sz w:val="20"/>
          <w:szCs w:val="20"/>
          <w:lang w:eastAsia="pt-BR"/>
        </w:rPr>
      </w:pPr>
      <w:r w:rsidRPr="006C0A9E">
        <w:rPr>
          <w:rFonts w:ascii="Arial" w:eastAsia="Times New Roman" w:hAnsi="Arial" w:cs="Arial"/>
          <w:color w:val="33CCCC"/>
          <w:spacing w:val="4"/>
          <w:sz w:val="20"/>
          <w:szCs w:val="20"/>
          <w:lang w:eastAsia="pt-BR"/>
        </w:rPr>
        <w:t>DESEMPENHO HUMANO E DESEMPENHO ORGANIZACIONAL</w:t>
      </w:r>
    </w:p>
    <w:p w:rsidR="006C0A9E" w:rsidRPr="006C0A9E" w:rsidRDefault="006C0A9E" w:rsidP="006C0A9E">
      <w:pPr>
        <w:spacing w:after="83" w:line="240" w:lineRule="auto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Compreender essa relação de causa-efeito entre os desempenhos das pessoas e os resultados do negócio é o primeiro passo para construir um sistema de gestão de pessoas que potencialize os resultados da empresa.</w:t>
      </w:r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No entanto, essa compreensão está longe de ser uma realidade na maior parte das empresas.</w:t>
      </w:r>
    </w:p>
    <w:p w:rsidR="006C0A9E" w:rsidRPr="006C0A9E" w:rsidRDefault="006C0A9E" w:rsidP="006C0A9E">
      <w:pPr>
        <w:spacing w:before="166" w:after="83" w:line="240" w:lineRule="auto"/>
        <w:jc w:val="both"/>
        <w:outlineLvl w:val="2"/>
        <w:rPr>
          <w:rFonts w:ascii="Arial" w:eastAsia="Times New Roman" w:hAnsi="Arial" w:cs="Arial"/>
          <w:color w:val="505559"/>
          <w:spacing w:val="4"/>
          <w:sz w:val="20"/>
          <w:szCs w:val="20"/>
          <w:lang w:eastAsia="pt-BR"/>
        </w:rPr>
      </w:pPr>
      <w:r w:rsidRPr="006C0A9E">
        <w:rPr>
          <w:rFonts w:ascii="Arial" w:eastAsia="Times New Roman" w:hAnsi="Arial" w:cs="Arial"/>
          <w:color w:val="33CCCC"/>
          <w:spacing w:val="4"/>
          <w:sz w:val="20"/>
          <w:szCs w:val="20"/>
          <w:lang w:eastAsia="pt-BR"/>
        </w:rPr>
        <w:t>O FIM DAS AVALIAÇÕES DE DESEMPENHO NAS EMPRESAS</w:t>
      </w:r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A maioria dos sistemas de avaliação tradicionalmente adotados pelas empresas não avaliam desempenhos. Na sua grande maioria, os processos de avaliação praticados atualmente são sistemas inócuos, que desperdiçam tempo das pessoas e dinheiro das empresas. Não estimulam a adesão dos gestores. Não geram informações consistentes e confiáveis para embasar decisões e planos de gestão de pessoas. Estão fadados à extinção!</w:t>
      </w:r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1649095" cy="1284605"/>
            <wp:effectExtent l="19050" t="0" r="8255" b="0"/>
            <wp:docPr id="3" name="Image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Não emplacam porque não fazem diferença no dia-a-dia das lideranças. São formulários construídos com base em padrões de mercado, de forma dissociada dos resultados organizacionais. São preenchidos uma vez ao ano, quando a gestão dos desempenhos deve ser uma prática cotidiana das lideranças.</w:t>
      </w:r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A demanda por uma</w:t>
      </w:r>
      <w:r w:rsidRPr="006C0A9E">
        <w:rPr>
          <w:rFonts w:ascii="Arial" w:eastAsia="Times New Roman" w:hAnsi="Arial" w:cs="Arial"/>
          <w:color w:val="33CCCC"/>
          <w:sz w:val="12"/>
          <w:lang w:eastAsia="pt-BR"/>
        </w:rPr>
        <w:t> </w:t>
      </w:r>
      <w:hyperlink r:id="rId9" w:history="1">
        <w:r w:rsidRPr="006C0A9E">
          <w:rPr>
            <w:rFonts w:ascii="Arial" w:eastAsia="Times New Roman" w:hAnsi="Arial" w:cs="Arial"/>
            <w:color w:val="33CCCC"/>
            <w:sz w:val="12"/>
            <w:u w:val="single"/>
            <w:lang w:eastAsia="pt-BR"/>
          </w:rPr>
          <w:t>gestão integrada que estabeleça uma relação direta entre desempenho de empresas e do desempenho das pessoas</w:t>
        </w:r>
      </w:hyperlink>
      <w:r w:rsidRPr="006C0A9E">
        <w:rPr>
          <w:rFonts w:ascii="Arial" w:eastAsia="Times New Roman" w:hAnsi="Arial" w:cs="Arial"/>
          <w:color w:val="80828E"/>
          <w:sz w:val="12"/>
          <w:lang w:eastAsia="pt-BR"/>
        </w:rPr>
        <w:t> </w:t>
      </w: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é latente! É fator crucial para potencializar os resultados de um negócio. A conexão do desempenho humano ao desempenho organizacional é o nó a ser desatado para evidenciar o retorno do investimento em práticas de gestão de pessoas.</w:t>
      </w:r>
    </w:p>
    <w:p w:rsidR="006C0A9E" w:rsidRPr="006C0A9E" w:rsidRDefault="006C0A9E" w:rsidP="006C0A9E">
      <w:pPr>
        <w:spacing w:before="166" w:after="83" w:line="240" w:lineRule="auto"/>
        <w:jc w:val="both"/>
        <w:outlineLvl w:val="2"/>
        <w:rPr>
          <w:rFonts w:ascii="Arial" w:eastAsia="Times New Roman" w:hAnsi="Arial" w:cs="Arial"/>
          <w:color w:val="505559"/>
          <w:spacing w:val="4"/>
          <w:sz w:val="20"/>
          <w:szCs w:val="20"/>
          <w:lang w:eastAsia="pt-BR"/>
        </w:rPr>
      </w:pPr>
      <w:r w:rsidRPr="006C0A9E">
        <w:rPr>
          <w:rFonts w:ascii="Arial" w:eastAsia="Times New Roman" w:hAnsi="Arial" w:cs="Arial"/>
          <w:color w:val="33CCCC"/>
          <w:spacing w:val="4"/>
          <w:sz w:val="20"/>
          <w:szCs w:val="20"/>
          <w:lang w:eastAsia="pt-BR"/>
        </w:rPr>
        <w:t>INDICADORES DE DESEMPENHO – A BASE DA MERITOCRACIA</w:t>
      </w:r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lastRenderedPageBreak/>
        <w:t>Para desenvolver um sistema de gestão baseado em meritocracia, é necessário estabelecer in</w:t>
      </w:r>
      <w:r>
        <w:rPr>
          <w:rFonts w:ascii="Arial" w:eastAsia="Times New Roman" w:hAnsi="Arial" w:cs="Arial"/>
          <w:noProof/>
          <w:color w:val="80828E"/>
          <w:sz w:val="12"/>
          <w:szCs w:val="12"/>
          <w:lang w:eastAsia="pt-BR"/>
        </w:rPr>
        <w:drawing>
          <wp:inline distT="0" distB="0" distL="0" distR="0">
            <wp:extent cx="2325370" cy="1580515"/>
            <wp:effectExtent l="19050" t="0" r="0" b="0"/>
            <wp:docPr id="4" name="Image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dicadores</w:t>
      </w:r>
      <w:proofErr w:type="spellEnd"/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 xml:space="preserve"> que permitirão medir e gerenciar desempenhos das empresas e das pessoas. Por outro lado, falta nas empresas cultura de mensuração. Verifica-se uma grande carência de medidas de desempenho, de forma geral.</w:t>
      </w:r>
    </w:p>
    <w:p w:rsidR="006C0A9E" w:rsidRPr="006C0A9E" w:rsidRDefault="006C0A9E" w:rsidP="006C0A9E">
      <w:pPr>
        <w:spacing w:after="83" w:line="240" w:lineRule="auto"/>
        <w:jc w:val="both"/>
        <w:rPr>
          <w:rFonts w:ascii="Arial" w:eastAsia="Times New Roman" w:hAnsi="Arial" w:cs="Arial"/>
          <w:color w:val="80828E"/>
          <w:sz w:val="12"/>
          <w:szCs w:val="12"/>
          <w:lang w:eastAsia="pt-BR"/>
        </w:rPr>
      </w:pPr>
      <w:r w:rsidRPr="006C0A9E">
        <w:rPr>
          <w:rFonts w:ascii="Arial" w:eastAsia="Times New Roman" w:hAnsi="Arial" w:cs="Arial"/>
          <w:color w:val="80828E"/>
          <w:sz w:val="12"/>
          <w:szCs w:val="12"/>
          <w:lang w:eastAsia="pt-BR"/>
        </w:rPr>
        <w:t>Isso dificulta o desenvolvimento de sistemas baseados na meritocracia, que podem trazer inúmeros benefícios para a empresa, como: pagar salários com a certeza de que está recebendo o serviço contratado, valorizar os profissionais que trazem mais valor para a organização e direcionar o esforço dos colaboradores para o alcance dos resultados almejados pela empresa.</w:t>
      </w:r>
    </w:p>
    <w:p w:rsidR="006C0A9E" w:rsidRPr="006C0A9E" w:rsidRDefault="006C0A9E" w:rsidP="006C0A9E">
      <w:pPr>
        <w:spacing w:after="166" w:line="240" w:lineRule="auto"/>
        <w:jc w:val="both"/>
        <w:rPr>
          <w:rFonts w:ascii="Arial" w:eastAsia="Times New Roman" w:hAnsi="Arial" w:cs="Arial"/>
          <w:color w:val="80828E"/>
          <w:sz w:val="15"/>
          <w:szCs w:val="15"/>
          <w:lang w:eastAsia="pt-BR"/>
        </w:rPr>
      </w:pPr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Denise </w:t>
      </w:r>
      <w:proofErr w:type="spellStart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Lustri</w:t>
      </w:r>
      <w:proofErr w:type="spellEnd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, Diretora da </w:t>
      </w:r>
      <w:proofErr w:type="spellStart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Cohros</w:t>
      </w:r>
      <w:proofErr w:type="spellEnd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 – Soluções Integradas de Gestão de Empresas e Pessoas. Mestre em Administração pela FEA-USP. Docente nos cursos de MBA da FGV e </w:t>
      </w:r>
      <w:proofErr w:type="spellStart"/>
      <w:proofErr w:type="gramStart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Fundace-USP</w:t>
      </w:r>
      <w:proofErr w:type="spellEnd"/>
      <w:proofErr w:type="gramEnd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. </w:t>
      </w:r>
      <w:proofErr w:type="spellStart"/>
      <w:proofErr w:type="gramStart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>Co-autora</w:t>
      </w:r>
      <w:proofErr w:type="spellEnd"/>
      <w:proofErr w:type="gramEnd"/>
      <w:r w:rsidRPr="006C0A9E">
        <w:rPr>
          <w:rFonts w:ascii="Arial" w:eastAsia="Times New Roman" w:hAnsi="Arial" w:cs="Arial"/>
          <w:i/>
          <w:iCs/>
          <w:color w:val="80828E"/>
          <w:sz w:val="15"/>
          <w:lang w:eastAsia="pt-BR"/>
        </w:rPr>
        <w:t xml:space="preserve"> do Livro “Cargos, Carreiras e Remuneração”. Editora FGV.</w:t>
      </w:r>
    </w:p>
    <w:p w:rsidR="005E5F83" w:rsidRDefault="005E5F83"/>
    <w:sectPr w:rsidR="005E5F83" w:rsidSect="005E5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0A9E"/>
    <w:rsid w:val="005E5F83"/>
    <w:rsid w:val="006C0A9E"/>
    <w:rsid w:val="007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83"/>
  </w:style>
  <w:style w:type="paragraph" w:styleId="Ttulo1">
    <w:name w:val="heading 1"/>
    <w:basedOn w:val="Normal"/>
    <w:link w:val="Ttulo1Char"/>
    <w:uiPriority w:val="9"/>
    <w:qFormat/>
    <w:rsid w:val="006C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0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0A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0A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osted-on">
    <w:name w:val="posted-on"/>
    <w:basedOn w:val="Fontepargpadro"/>
    <w:rsid w:val="006C0A9E"/>
  </w:style>
  <w:style w:type="character" w:customStyle="1" w:styleId="apple-converted-space">
    <w:name w:val="apple-converted-space"/>
    <w:basedOn w:val="Fontepargpadro"/>
    <w:rsid w:val="006C0A9E"/>
  </w:style>
  <w:style w:type="character" w:styleId="Hyperlink">
    <w:name w:val="Hyperlink"/>
    <w:basedOn w:val="Fontepargpadro"/>
    <w:uiPriority w:val="99"/>
    <w:semiHidden/>
    <w:unhideWhenUsed/>
    <w:rsid w:val="006C0A9E"/>
    <w:rPr>
      <w:color w:val="0000FF"/>
      <w:u w:val="single"/>
    </w:rPr>
  </w:style>
  <w:style w:type="character" w:customStyle="1" w:styleId="author">
    <w:name w:val="author"/>
    <w:basedOn w:val="Fontepargpadro"/>
    <w:rsid w:val="006C0A9E"/>
  </w:style>
  <w:style w:type="paragraph" w:styleId="NormalWeb">
    <w:name w:val="Normal (Web)"/>
    <w:basedOn w:val="Normal"/>
    <w:uiPriority w:val="99"/>
    <w:semiHidden/>
    <w:unhideWhenUsed/>
    <w:rsid w:val="006C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C0A9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5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790">
              <w:blockQuote w:val="1"/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single" w:sz="18" w:space="8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ros.com.br/blog/index.php/author/denise-lust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hros.com.br/blog/index.php/2016/11/23/gestao-de-desempenhos-beneficios-do-sistema-meritocratico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LXqIgHbkw0&amp;t=89s&amp;list=PLZ_fIATFnnCNfKK5mfO7C_Wx4uo63rZgX&amp;index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ikmiura</dc:creator>
  <cp:lastModifiedBy>ikmiura</cp:lastModifiedBy>
  <cp:revision>2</cp:revision>
  <dcterms:created xsi:type="dcterms:W3CDTF">2016-11-23T19:23:00Z</dcterms:created>
  <dcterms:modified xsi:type="dcterms:W3CDTF">2016-11-23T19:23:00Z</dcterms:modified>
</cp:coreProperties>
</file>