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7770B1" w:rsidRPr="00B50FB5" w:rsidRDefault="007770B1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7770B1" w:rsidRPr="00B50FB5" w:rsidRDefault="007770B1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7770B1" w:rsidRPr="00B50FB5" w:rsidRDefault="007770B1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3C8D00AD" w14:textId="59229152" w:rsidR="001D5740" w:rsidRPr="001D5740" w:rsidRDefault="00BF137C" w:rsidP="001D5740">
      <w:pPr>
        <w:jc w:val="both"/>
        <w:rPr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</w:t>
      </w:r>
      <w:r w:rsidR="001D5740">
        <w:rPr>
          <w:b/>
          <w:sz w:val="24"/>
          <w:szCs w:val="24"/>
        </w:rPr>
        <w:t xml:space="preserve"> ADMINISTRAÇÃO PÚBLICA</w:t>
      </w:r>
    </w:p>
    <w:p w14:paraId="7B146A39" w14:textId="28C8DB2C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0E09EFA1" w14:textId="1A6C99E9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0B430E">
        <w:rPr>
          <w:b/>
          <w:sz w:val="24"/>
          <w:szCs w:val="24"/>
        </w:rPr>
        <w:t xml:space="preserve">CONSÓRCIOS PÚBLICOS, </w:t>
      </w:r>
      <w:r w:rsidR="007770B1">
        <w:rPr>
          <w:b/>
          <w:sz w:val="24"/>
          <w:szCs w:val="24"/>
        </w:rPr>
        <w:t>ETC E REGIÕES METROPOLITANAS</w:t>
      </w: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102B01D3" w14:textId="4329F4D6" w:rsidR="000B430E" w:rsidRPr="000B430E" w:rsidRDefault="00BF137C" w:rsidP="000B430E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32D86457" w14:textId="77777777" w:rsidR="007770B1" w:rsidRDefault="007770B1" w:rsidP="007770B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  <w:lang w:val="en-US"/>
        </w:rPr>
      </w:pPr>
    </w:p>
    <w:p w14:paraId="341EFA1F" w14:textId="659A29AE" w:rsidR="007770B1" w:rsidRPr="007770B1" w:rsidRDefault="007770B1" w:rsidP="007770B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770B1">
        <w:rPr>
          <w:rFonts w:eastAsiaTheme="minorEastAsia"/>
          <w:sz w:val="24"/>
          <w:szCs w:val="24"/>
        </w:rPr>
        <w:t>Da análise da decisão do STF na ADIN 1842, de 13 de setembro de 2013; do Estatuto da Metrópole (Lei nº 13.089/2015) e dos textos indicados para leitura, responda:</w:t>
      </w:r>
    </w:p>
    <w:p w14:paraId="2F9DC171" w14:textId="48C7FB1E" w:rsidR="007770B1" w:rsidRPr="007770B1" w:rsidRDefault="007770B1" w:rsidP="007770B1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7770B1">
        <w:rPr>
          <w:rFonts w:eastAsiaTheme="minorEastAsia"/>
          <w:sz w:val="24"/>
          <w:szCs w:val="24"/>
        </w:rPr>
        <w:t>Pode-se dizer que, diante do que estudamos neste semestre, a constituição jurídica e formal de uma metrópole ou região metropolitana corresponde a uma forma de parceria público-público?</w:t>
      </w:r>
    </w:p>
    <w:p w14:paraId="663DE18F" w14:textId="346E8261" w:rsidR="007770B1" w:rsidRPr="007770B1" w:rsidRDefault="007770B1" w:rsidP="007770B1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7770B1">
        <w:rPr>
          <w:rFonts w:eastAsiaTheme="minorEastAsia"/>
          <w:sz w:val="24"/>
          <w:szCs w:val="24"/>
        </w:rPr>
        <w:t>Quais as linhas de pensamento sobre a natureza jurídica e sobre a governança das metrópoles que se pode retirar dos diferentes votos da ADIN 1842?</w:t>
      </w:r>
    </w:p>
    <w:p w14:paraId="58023CF2" w14:textId="11CD064D" w:rsidR="007770B1" w:rsidRDefault="007770B1" w:rsidP="007770B1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7770B1">
        <w:rPr>
          <w:rFonts w:eastAsiaTheme="minorEastAsia"/>
          <w:sz w:val="24"/>
          <w:szCs w:val="24"/>
        </w:rPr>
        <w:t>Confrontando a solução determinada pelo STF para a prestação de serviços públicos nas áreas de integração metropolitana e a governança definida no Estatuto da Metrópole, indique as diferenças e as semelhanças entre os dois modelos.</w:t>
      </w:r>
    </w:p>
    <w:p w14:paraId="50EFDD8C" w14:textId="3A206D21" w:rsidR="00775B5D" w:rsidRPr="007770B1" w:rsidRDefault="00775B5D" w:rsidP="007770B1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Compare em traços gerais o regime jurídico da metrópole com o do consórcio público.</w:t>
      </w:r>
    </w:p>
    <w:p w14:paraId="1B05F40A" w14:textId="1FE66AC1" w:rsidR="007770B1" w:rsidRPr="007770B1" w:rsidRDefault="007770B1" w:rsidP="007770B1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7770B1">
        <w:rPr>
          <w:rFonts w:eastAsiaTheme="minorEastAsia"/>
          <w:sz w:val="24"/>
          <w:szCs w:val="24"/>
        </w:rPr>
        <w:t>Considerando que a decisão do STF se refere especificamente à legislação do Estado do Rio de Janeiro, que institui a Região Metropolitana do Rio de Janeiro e a Microrregião dos Lagos, e considerando a superveniência do Estatuto da Metrópole, que estabelece diretrizes gerais para o planejamento, a gestão e a execução das funções públicas de interesse comum em regiões metropolitanas e em aglomerações urbanas instituídas pelos Estados, quais medidas devem ser tomadas pelo Estado do Rio de Janeiro para compatibilizar os regimes?</w:t>
      </w:r>
    </w:p>
    <w:p w14:paraId="53101652" w14:textId="3AC4070D" w:rsidR="00EC7CAB" w:rsidRPr="007770B1" w:rsidRDefault="00775B5D" w:rsidP="007770B1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 caso de criação de uma região metropolitana o Município transferiria suas competências compulsoriamente para a região metropolitana criada? Caso afirmati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vo, não se estaria atentando contra </w:t>
      </w:r>
      <w:r w:rsidR="007770B1" w:rsidRPr="007770B1">
        <w:rPr>
          <w:rFonts w:eastAsiaTheme="minorEastAsia"/>
          <w:sz w:val="24"/>
          <w:szCs w:val="24"/>
        </w:rPr>
        <w:t>a autonomia municipal</w:t>
      </w:r>
      <w:r>
        <w:rPr>
          <w:rFonts w:eastAsiaTheme="minorEastAsia"/>
          <w:sz w:val="24"/>
          <w:szCs w:val="24"/>
        </w:rPr>
        <w:t>?</w:t>
      </w:r>
    </w:p>
    <w:sectPr w:rsidR="00EC7CAB" w:rsidRPr="007770B1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DD4"/>
    <w:multiLevelType w:val="hybridMultilevel"/>
    <w:tmpl w:val="4C42D74C"/>
    <w:lvl w:ilvl="0" w:tplc="B8DEB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C6B"/>
    <w:multiLevelType w:val="multilevel"/>
    <w:tmpl w:val="F92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D43C1"/>
    <w:multiLevelType w:val="multilevel"/>
    <w:tmpl w:val="146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2632A"/>
    <w:multiLevelType w:val="hybridMultilevel"/>
    <w:tmpl w:val="A2AAFE36"/>
    <w:lvl w:ilvl="0" w:tplc="588200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B430E"/>
    <w:rsid w:val="001D5740"/>
    <w:rsid w:val="00216515"/>
    <w:rsid w:val="0034254F"/>
    <w:rsid w:val="003E5B60"/>
    <w:rsid w:val="00545E25"/>
    <w:rsid w:val="00705385"/>
    <w:rsid w:val="00775B5D"/>
    <w:rsid w:val="007770B1"/>
    <w:rsid w:val="007900C8"/>
    <w:rsid w:val="007F1DE6"/>
    <w:rsid w:val="008753B1"/>
    <w:rsid w:val="008D74CD"/>
    <w:rsid w:val="009511DD"/>
    <w:rsid w:val="009A40E5"/>
    <w:rsid w:val="009A527F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3</cp:revision>
  <dcterms:created xsi:type="dcterms:W3CDTF">2016-11-06T11:26:00Z</dcterms:created>
  <dcterms:modified xsi:type="dcterms:W3CDTF">2016-11-06T11:30:00Z</dcterms:modified>
</cp:coreProperties>
</file>