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4"/>
      </w:tblGrid>
      <w:tr w:rsidR="00BC16BA" w:rsidTr="00BC16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16BA" w:rsidRDefault="00BC16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 </w:t>
            </w:r>
          </w:p>
        </w:tc>
      </w:tr>
      <w:tr w:rsidR="00BC16BA" w:rsidTr="00BC16BA">
        <w:trPr>
          <w:trHeight w:val="300"/>
          <w:tblCellSpacing w:w="15" w:type="dxa"/>
          <w:jc w:val="center"/>
        </w:trPr>
        <w:tc>
          <w:tcPr>
            <w:tcW w:w="0" w:type="auto"/>
            <w:shd w:val="clear" w:color="auto" w:fill="045AAE"/>
            <w:vAlign w:val="center"/>
            <w:hideMark/>
          </w:tcPr>
          <w:p w:rsidR="00BC16BA" w:rsidRDefault="00BC16BA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Style w:val="modulo"/>
                <w:rFonts w:ascii="Verdana" w:hAnsi="Verdana"/>
                <w:b/>
                <w:bCs/>
                <w:color w:val="000000"/>
                <w:sz w:val="15"/>
                <w:szCs w:val="15"/>
              </w:rPr>
              <w:t>Tese 53</w:t>
            </w:r>
          </w:p>
        </w:tc>
      </w:tr>
      <w:tr w:rsidR="00BC16BA" w:rsidTr="00BC16BA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C16BA" w:rsidRDefault="00BC16BA">
            <w:pPr>
              <w:spacing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hyperlink r:id="rId4" w:tooltip="Imprimir" w:history="1">
              <w:r>
                <w:rPr>
                  <w:rFonts w:ascii="Verdana" w:hAnsi="Verdana"/>
                  <w:noProof/>
                  <w:color w:val="0265CC"/>
                  <w:sz w:val="18"/>
                  <w:szCs w:val="18"/>
                  <w:bdr w:val="none" w:sz="0" w:space="0" w:color="auto" w:frame="1"/>
                  <w:lang w:eastAsia="pt-BR"/>
                </w:rPr>
                <w:drawing>
                  <wp:inline distT="0" distB="0" distL="0" distR="0">
                    <wp:extent cx="155575" cy="155575"/>
                    <wp:effectExtent l="0" t="0" r="0" b="0"/>
                    <wp:docPr id="39" name="Imagem 39" descr="http://www.defensoria.sp.gov.br/dpesp/imagens/imprimir.gif">
                      <a:hlinkClick xmlns:a="http://schemas.openxmlformats.org/drawingml/2006/main" r:id="rId4" tooltip="&quot;Imprimir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9" descr="http://www.defensoria.sp.gov.br/dpesp/imagens/imprimir.gif">
                              <a:hlinkClick r:id="rId4" tooltip="&quot;Imprimir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575" cy="155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Verdana" w:hAnsi="Verdana"/>
                  <w:color w:val="0265CC"/>
                  <w:sz w:val="18"/>
                  <w:szCs w:val="18"/>
                  <w:bdr w:val="none" w:sz="0" w:space="0" w:color="auto" w:frame="1"/>
                </w:rPr>
                <w:t>Imprimir</w:t>
              </w:r>
            </w:hyperlink>
            <w:r>
              <w:rPr>
                <w:rStyle w:val="apple-converted-space"/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 </w:t>
            </w:r>
            <w:hyperlink r:id="rId6" w:tooltip="Enviar por Email" w:history="1">
              <w:r>
                <w:rPr>
                  <w:rFonts w:ascii="Verdana" w:hAnsi="Verdana"/>
                  <w:noProof/>
                  <w:color w:val="0265CC"/>
                  <w:sz w:val="18"/>
                  <w:szCs w:val="18"/>
                  <w:bdr w:val="none" w:sz="0" w:space="0" w:color="auto" w:frame="1"/>
                  <w:lang w:eastAsia="pt-BR"/>
                </w:rPr>
                <w:drawing>
                  <wp:inline distT="0" distB="0" distL="0" distR="0">
                    <wp:extent cx="155575" cy="155575"/>
                    <wp:effectExtent l="0" t="0" r="0" b="0"/>
                    <wp:docPr id="38" name="Imagem 38" descr="http://www.defensoria.sp.gov.br/dpesp/imagens/email/email.gif">
                      <a:hlinkClick xmlns:a="http://schemas.openxmlformats.org/drawingml/2006/main" r:id="rId6" tooltip="&quot;Enviar por Email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0" descr="http://www.defensoria.sp.gov.br/dpesp/imagens/email/email.gif">
                              <a:hlinkClick r:id="rId6" tooltip="&quot;Enviar por Email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575" cy="155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Verdana" w:hAnsi="Verdana"/>
                  <w:color w:val="0265CC"/>
                  <w:sz w:val="18"/>
                  <w:szCs w:val="18"/>
                  <w:bdr w:val="none" w:sz="0" w:space="0" w:color="auto" w:frame="1"/>
                </w:rPr>
                <w:t>Enviar</w:t>
              </w:r>
            </w:hyperlink>
            <w:r>
              <w:rPr>
                <w:rStyle w:val="apple-converted-space"/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 </w:t>
            </w:r>
            <w:hyperlink r:id="rId8" w:history="1">
              <w:r>
                <w:rPr>
                  <w:rFonts w:ascii="Verdana" w:hAnsi="Verdana"/>
                  <w:noProof/>
                  <w:color w:val="D9661A"/>
                  <w:sz w:val="17"/>
                  <w:szCs w:val="17"/>
                  <w:bdr w:val="none" w:sz="0" w:space="0" w:color="auto" w:frame="1"/>
                  <w:lang w:eastAsia="pt-BR"/>
                </w:rPr>
                <w:drawing>
                  <wp:inline distT="0" distB="0" distL="0" distR="0">
                    <wp:extent cx="155575" cy="155575"/>
                    <wp:effectExtent l="0" t="0" r="0" b="0"/>
                    <wp:docPr id="37" name="Imagem 37" descr="http://www.defensoria.sp.gov.br/dpesp/imagens/fechar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1" descr="http://www.defensoria.sp.gov.br/dpesp/imagens/fechar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575" cy="155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Verdana" w:hAnsi="Verdana"/>
                  <w:color w:val="D9661A"/>
                  <w:sz w:val="17"/>
                  <w:szCs w:val="17"/>
                  <w:bdr w:val="none" w:sz="0" w:space="0" w:color="auto" w:frame="1"/>
                </w:rPr>
                <w:t>Fechar</w:t>
              </w:r>
            </w:hyperlink>
          </w:p>
        </w:tc>
      </w:tr>
      <w:tr w:rsidR="00BC16BA" w:rsidTr="00BC16B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C16BA" w:rsidRDefault="00BC16BA">
            <w:pPr>
              <w:spacing w:line="195" w:lineRule="atLeast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TESE 53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III Encontro Estadual - 2009</w:t>
            </w:r>
            <w:bookmarkStart w:id="0" w:name="_GoBack"/>
            <w:bookmarkEnd w:id="0"/>
          </w:p>
          <w:p w:rsidR="00BC16BA" w:rsidRDefault="00BC16BA">
            <w:pPr>
              <w:pStyle w:val="NormalWeb"/>
              <w:spacing w:after="200" w:afterAutospacing="0" w:line="27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Proponente: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Mário Lúcio Pereira Machado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Área: Execução Criminal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Súmula: A decisão judicial de indeferimento da progressão de regime prisional e da liberdade condicional com base exclusivamente na gravidade delitiva e na longevidade da pena configura fundamentação inidônea e abuso no poder de interpretar do magistrado, extrapolando os limites do livre convencimento motivado.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Assunto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 gravidade delitiva e a longevidade da pena como requisitos obstativos da progressão de regime prisional e do livramento condicional.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Indicação do item específico relacionado às atribuições institucionais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Item específico: art. 5.º, inciso VI, alínea “l” da Lei Complementar Estadual nº 988, de 09 de janeiro de 2006: “São atribuições institucionais da Defensoria Pública do Estado, dentre outras: (...) promover a tutela das pessoas necessitadas, vítimas de discriminação em razão de (...) cumprimento de pena, ou em razão de qualquer outra particularidade ou condição”.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Fundamentação jurídica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Nos termos do artigo 112 da Lei nº 7.210 de 11 de julho de 1984, para galgar a benesse da progressão de regime prisional é preciso o preenchimento do requisito objetivo-temporal, além do subjetivo, que é o mérito do sentenciado, comprovado mediante atestado de conduta carcerária emitido pelo Diretor do estabelecimento prisional.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Já o artigo 83 do Código Penal Brasileiro exige à concessão da liberdade condicional o cumprimento de certa quantidade de pena, a reparação do dano em alguns casos e o comportamento satisfatório durante a execução penal, bom desempenho no trabalho e o compromisso de manter ocupação lícita para prover a própria subsistência. No caso de crime cometido com violência ou grave ameaça à pessoa, a concessão do livramento subordina-se à constatação de condições pessoais que façam presumir que o liberado não voltará 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delinqüir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A celeuma surge em torno do preenchimento do requisito subjetivo que, por vezes, possui um conceito ampliado pelo juiz. Isso porque, na prática, alguns magistrados têm considerado a quantidade da pena e a gravidade do crime como elementos integrantes do bom comportamento carcerário.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Em outras palavras, se acaso o sentenciado tiver uma pena longa a resgatar em razão da gravidade do delito praticado quando do pedido do benefício, este será indeferido por falta de requisito subjetivo.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 magistrado que assim decide justifica seu pensamento no princípio da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livre convicção motivada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 na busca da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verdade real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no processo de execução penal.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Segundo os adeptos desta corrente, o juiz não fica adstrito ao atestado de conduta carcerária emitido pelo diretor do estabelecimento prisional. Caso contrário, estar-se-ia engessando o magistrado e ferindo a Constituição Federal, que prevê a livre convicção.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Sustenta-se, ainda, que o requisito subjetivo não pode ser interpretado apenas como sendo bom comportamento carcerário,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nos estritos limites da lei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até porque o juiz, nesse caso, seria um mero aplicador da norma jurídica, estando privado de interpretá-la concretamente, com justiça.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Portanto, o pensamento ora esposado encontra fundamento na figura de um Judiciário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intervencionista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no sentido de se admitir que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o juiz, fazendo às vezes do legislador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amplie o conceito legal do requisito subjetivo para fins de benefícios.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Para a lei, basta o bom comportamento carcerário atestado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pela direção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do estabelecimento prisional; para o juiz, mister que, além disso, o sentenciado não tenha uma quantidade elevada de pena por cumprir.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Aqueles que navegam por essas águas sustentam, ainda, que o artigo 112 da LEP ou o artigo 83 do Código Penal não podem ser interpretados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ipses</w:t>
            </w:r>
            <w:proofErr w:type="spellEnd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 xml:space="preserve"> litteris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sob pena de causar na população a sensação de impunidade. Para que tal não aconteça, vemos como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conseqüência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 severidade do julgamento como uma resposta de combate à violência para a sociedade.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Nesse sentido, necessário que se exija do Judiciário uma posição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pró-ativa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a fim de que o mesmo corrija as imperfeições da lei, através de um processo de intervenção noutra esfera de poder, ampliando-se o conceito legal de bom comportamento carcerário.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 todo respeito ao entendimento supracitado, discordamos com veemência, pois toda e qualquer decisão judicial que basear-se em tais premissas, incontestavelmente, afronta a Constituição da República. Vejamos.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Nos termos do artigo 5º, inciso II, da Constituição da República, ninguém pode ser obrigado a fazer ou deixar de fazer alguma coisa senão em virtude de lei.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 artigo 4º da Declaração dos Direitos do Homem e do Cidadão previu o princípio da legalidade, cujo surgimento se deu com o Estado de Direito, em oposição ao Estado de Polícia,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autoritário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e antidemocrático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Segundo a doutrina,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como viga-mestra do ordenamento jurídico brasileiro, o princípio da legalidade dirige-se aos Poderes Públicos e, também, aos particulares: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>quanto</w:t>
            </w:r>
            <w:proofErr w:type="gramEnd"/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 xml:space="preserve"> aos Poderes Públicos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– o Executivo, Legislativo 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Judiciário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devem agir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dentro da lei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; qualquer ação por parte deles, seja para ordenar ato (conduta positiva), seja para abster fato (conduta negativa),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somente será juridicamente válida se nascer da lei em sentido formal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; e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>quanto</w:t>
            </w:r>
            <w:proofErr w:type="gramEnd"/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 xml:space="preserve"> aos particulares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– nas relações privadas, tudo aquilo que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não for proibido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pela lei é tido como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permitido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(</w:t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princípio da autonomia da vontade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).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 xml:space="preserve">O princípio da legalidade transmite a </w:t>
            </w:r>
            <w:proofErr w:type="spellStart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idéia</w:t>
            </w:r>
            <w:proofErr w:type="spellEnd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 xml:space="preserve"> de que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apenas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o Poder Legislativo pode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criar comandos inovadores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 xml:space="preserve">na ordem </w:t>
            </w:r>
            <w:proofErr w:type="gramStart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jurídica.</w:t>
            </w:r>
            <w:bookmarkStart w:id="1" w:name="_ftnref1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fldChar w:fldCharType="begin"/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instrText xml:space="preserve"> HYPERLINK "http://www.defensoria.sp.gov.br/dpesp/Conteudos/Materia/MateriaMostra.aspx?idItem=61257&amp;idModulo=9706" \l "_ftn1" \o "" </w:instrTex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[</w:t>
            </w:r>
            <w:proofErr w:type="gramEnd"/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1]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(grifo nosso).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Logo, ao Judiciário não cabe inovar a ordem jurídica e exigir à comprovação do comportamento carcerário mais que aquilo previsto na lei; quer dizer que a longevidade da pena não pode servir de obstáculo como algo configurador da ausência de requisito subjetivo para fins de regime aberto, por exemplo.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Nesse sentido, se a lei não proíbe a concessão do regime aberto,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v.g.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àqueles com longa pena a resgatar,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contrario</w:t>
            </w:r>
            <w:proofErr w:type="spellEnd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 xml:space="preserve"> sensu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significa que é permitido ao particular, no caso o preso, ter assegurado seu direito de liberdade.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Comungando com tal entendimento, o Egrégio Tribunal de Justiça do Estado de São Paulo, apreciando a Ordem de “habeas corpus” nº 990.08.006010-4, impetrada pela Defensoria Pública, que teve como relator o Ilustre Desembargador IVAN MARQUES, concedeu a presente ordem em caso idêntico, fundamentando seu posicionamento na necessidade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do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magistrado pautar sua decisão no estrito cumprimento da lei,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 xml:space="preserve">in </w:t>
            </w:r>
            <w:proofErr w:type="spellStart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verbis</w:t>
            </w:r>
            <w:proofErr w:type="spellEnd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: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8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>[...]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left="18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>Ora, o juiz não é César e deve pautar sua conduta pelo estrito cumprimento das leis, obrigação assumida inclusive quando do juramento de posse nesse cargo.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left="18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>E a lei vigente autorizava e recomendava a concessão do livramento condicional ao paciente.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left="18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lastRenderedPageBreak/>
              <w:t>Penso ser unânime no Brasil o entendimento de que a legislação penal e principalmente, a aplicável à execução penal é branda e insatisfatória.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left="18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>Mais isso não dá ao juiz o direito de se colocar acima das leis e passar a, tal qual um imperador romano, decidir para quem, onde e quando concederá benefícios previstos em lei, segundo seus próprios e subjetivos critérios, pouco se importando com os ditames legais.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left="18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 xml:space="preserve">Principalmente com base na pífia argumentação de que o sentenciado deva permanecer mais algum tempo sem </w:t>
            </w:r>
            <w:proofErr w:type="spellStart"/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>beneficio</w:t>
            </w:r>
            <w:proofErr w:type="spellEnd"/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>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left="18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>Mas algum tempo quanto?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left="18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>Tal decisão é clamorosamente carente de fundamentação legal.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left="18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>[...]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ALEXANDRE DE MORAES, citando jurisprudência do C. Superior Tribunal de Justiça preleciona: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a liberdade é indisponível no Estado de Direito Democrático;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não cabendo a nenhuma autoridade, inclusive </w:t>
            </w:r>
            <w:proofErr w:type="spellStart"/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Executivo</w:t>
            </w:r>
            <w:proofErr w:type="spellEnd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 xml:space="preserve"> 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Judiciário, assenhorar-se das prerrogativas do Legislativo, criando novas formas inibidoras ao direito de ir e vir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, sem a devida fundamentação e forma prescrita em lei.</w:t>
            </w:r>
            <w:bookmarkStart w:id="2" w:name="_ftnref2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fldChar w:fldCharType="begin"/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instrText xml:space="preserve"> HYPERLINK "http://www.defensoria.sp.gov.br/dpesp/Conteudos/Materia/MateriaMostra.aspx?idItem=61257&amp;idModulo=9706" \l "_ftn2" \o "" </w:instrTex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[2]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fldChar w:fldCharType="end"/>
            </w:r>
            <w:bookmarkEnd w:id="2"/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(grifo nosso).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 função típica do Poder Judiciário é dizer o direito através do juiz que interpretando a lei, aplica-a ao caso concreto. Não se pode esquecer, no entanto, que tal interpretação tem de ser de acordo com a lei e a Constituição. Já a função típica de legislar, ou seja, criar o direito; fica a cargo do Poder Legislativo.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Nesse diapasão, não pode um poder interferir na esfera de outro, sob pena de abuso de poder. É a teoria dos freios e contrapesos.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Assim, quando o juiz exige algo não previsto em lei para a concessão de um direito (no caso a progressão de regime ou o livramento condicional), o mesmo está invadindo esfera de atuação reservada ao legislador.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 questão da impunidade, do senso de injustiça, se não resolvidas pela lei, não podem ser solucionadas pelo juiz, como uma resposta à sociedade ou à mídia. A imparcialidade do juiz também se volta para esses casos.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Logo, se a questão da violência não está sendo solucionada pelas leis atuais, o problema é do povo, que soberano, elege seus representantes, incumbidos de criarem o direito. Não cabe ao juiz substituir tal função na tentativa de resolver o problema. Caso contrário, a segurança jurídica estaria sendo desrespeitada.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lastRenderedPageBreak/>
              <w:t>Por isso, quando falamos em separação de Poderes estamos nos reportando a uma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separação de funções estatais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 xml:space="preserve">, conferidas a órgãos especializados para cada </w:t>
            </w:r>
            <w:proofErr w:type="gramStart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atribuição.</w:t>
            </w:r>
            <w:bookmarkStart w:id="3" w:name="_ftnref3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fldChar w:fldCharType="begin"/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instrText xml:space="preserve"> HYPERLINK "http://www.defensoria.sp.gov.br/dpesp/Conteudos/Materia/MateriaMostra.aspx?idItem=61257&amp;idModulo=9706" \l "_ftn3" \o "" </w:instrTex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[</w:t>
            </w:r>
            <w:proofErr w:type="gramEnd"/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3]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fldChar w:fldCharType="end"/>
            </w:r>
            <w:bookmarkEnd w:id="3"/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Não é novidade que a quantidade da pena encontra seu consectário lógico na gravidade delitiva. Assim, quando do processo de conhecimento condenatório, o juiz pune mais severamente o réu de acordo com as circunstâncias judiciais desfavoráveis, as circunstâncias legais agravantes e, por fim, as causas de aumento de pena (critério trifásico de Hungria).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Durante 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processo condenatório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faz-se, portanto, um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juízo de diagnose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ou seja, o juiz analisa fatos pretéritos que levaram à ação criminosa para diagnosticar a quantidade da pena a ser aplicada. Já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no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processo</w:t>
            </w:r>
            <w:proofErr w:type="spellEnd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 xml:space="preserve"> de execução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realiza-se um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 xml:space="preserve">juízo de </w:t>
            </w:r>
            <w:proofErr w:type="spellStart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prognose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isto é, o juiz, ao julgar determinado benefício, verifica a evolução comportamental do sentenciado, após o início do cumprimento da pena.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Em outras palavras, o juiz da execução não pode olhar para trás e com base na gravidade do fato, negar o benefício, pois tal já fora considerada anteriormente, justamente para majorar a pena e, portanto, punir o réu.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Assim, se o juiz da execução penal realizar um juízo de diagnose para indeferir um benefício, estará violando a regra da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proibição da dupla punição pelo mesmo fato.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Ademais, o sentenciado que possui longa pena por cumprir demorará maior tempo que aquele que possui menor para alcançar o preenchimento do requisito objetivo-temporal. Tal medida, portanto, encontra-se em perfeita consonância com o postulado da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proporcionalidade.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Nesse sentido: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left="1800" w:right="-59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 xml:space="preserve">"O agravante está cumprindo pena de 21 (vinte e um) anos e 02 (dois) meses de reclusão pela violação dos </w:t>
            </w:r>
            <w:proofErr w:type="spellStart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arts</w:t>
            </w:r>
            <w:proofErr w:type="spellEnd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. 121 §2º, incisos I, II e IV e 155, ambos do Código Penal. Começou a cumprir a pena no dia 12 de junho de 2000, e o término está previsto para o dia 12 de outubro de 2022.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left="1800" w:right="-59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{...}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left="1800" w:right="-59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>A pena longa não é obstáculo para concessão de progressão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 xml:space="preserve">. A Lei de Execução Penal dispõe que o condenado possui direito à progressão, desde que tenha cumprido 1/6 da pena sob regime mais </w:t>
            </w:r>
            <w:proofErr w:type="spellStart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grave.</w:t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 Lei de Execução Penal já exige que o condenado à pena longa cumpra maior tempo em regime prisional mais grave para ser promovido para mais ameno, ao estabelecer percentual de 1/6 de cumprimento da pena não importando seu montante.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left="1800" w:right="-59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>O condenado à pena longa fica mais tempo sob regime prisional fechado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 xml:space="preserve">antes de ser promovido para regime prisional </w:t>
            </w:r>
            <w:proofErr w:type="spellStart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semi-aberto</w:t>
            </w:r>
            <w:proofErr w:type="spellEnd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 xml:space="preserve">. Tendo ele ficado mais tempo em regime mais 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lastRenderedPageBreak/>
              <w:t>rigoroso,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não pode o julgador exigir que ele permaneça sob esse regime prisional mais tempo que o exigido em lei,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para que o benefício da progressão possa ser deferido.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left="1800" w:right="-59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{...}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left="1800" w:right="-59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No Juízo da Execução Penal, o condenado passa a ser avaliado sob outros aspectos para fins de deferimento de benefícios contemplados na Lei de Execução Penal.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A avaliação do condenado não envolve as condições judiciais para a aplicação da pena, mas sim, seu comportamento carcerário.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left="1800" w:right="-59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{...}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left="1800" w:right="-59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 xml:space="preserve">Dá-se, por esses motivos, provimento ao recurso para cassar a decisão, determinando que Edson </w:t>
            </w:r>
            <w:proofErr w:type="spellStart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Armeliato</w:t>
            </w:r>
            <w:proofErr w:type="spellEnd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 xml:space="preserve"> passe a cumprir o restante de sua pena privativa de liberdade sob regime </w:t>
            </w:r>
            <w:proofErr w:type="spellStart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semi-aberto</w:t>
            </w:r>
            <w:proofErr w:type="spellEnd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 xml:space="preserve">."(TJ/SP., Agravo 01016724.3/9, São Paulo, 2ª </w:t>
            </w:r>
            <w:proofErr w:type="spellStart"/>
            <w:proofErr w:type="gramStart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C.Criminal</w:t>
            </w:r>
            <w:proofErr w:type="spellEnd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 xml:space="preserve"> Rel. Des. Almeida Braga, em 21/12/</w:t>
            </w:r>
            <w:proofErr w:type="gramStart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06,v.u</w:t>
            </w:r>
            <w:proofErr w:type="gramEnd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).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Como demonstraremos na fundamentação fática, alguns juízes indeferem os benefícios em razão da pena longa e do crime grave, ainda que o sentenciado tenha em seu favor, inúmeras saídas temporárias retornadas e ausência de histórico de faltas disciplinares bem como atividades laborterápicas e de cunho intelectivo.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 entanto, quando o contrário se estabelece - sentenciado com histórico de faltas e saídas temporárias não retornadas - o juiz fundamenta a decisão de indeferimento citando tais fatores negativos da personalidade do réu.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Melhor exemplificando,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o juiz fundamenta que, as saídas temporárias e a ausência de faltas, por si sós, são insuficientes para comprovar o mérito do sentenciado, ainda que este ostente o atestado de boa conduta.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Porém, as mesmas circunstâncias supramencionadas, mas ocorridas de forma inversa (saídas não retornadas e prática de faltas graves), servem, só por si, para indeferir a benesse pleiteada.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Conclusão: aplica-se o princípio da individualização da pena apenas quando no histórico carcerário constarem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fatores negativos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de personalidade. Contudo,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quando se verifica o contrário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o juiz encontra uma forma para negar o benefício, utilizando-se, por exemplo,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de requisitos não previstos na lei (longevidade da pena).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Ora, diante do exposto, vislumbra-se a violação do princípio da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igualdade material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pois a individualização da pena é diferente para um e outro caso. É realizada uma discriminação negativa, pois ausente de razoabilidade.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 Magistrado que individualiza a pena apenas para prejudicar, nunca para beneficiar,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escolhe um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>discrímen</w:t>
            </w:r>
            <w:proofErr w:type="spellEnd"/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que não guarda consectário lógico com a razão jurídica da discriminação.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Com efeito, a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igualdade é princípio que visa a duplo objetivo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, a saber: de um lado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i/>
                <w:iCs/>
                <w:color w:val="FF0000"/>
                <w:sz w:val="18"/>
                <w:szCs w:val="18"/>
              </w:rPr>
              <w:t>propiciar garantias individuais contra perseguições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e, de outro,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i/>
                <w:iCs/>
                <w:color w:val="FF0000"/>
                <w:sz w:val="18"/>
                <w:szCs w:val="18"/>
              </w:rPr>
              <w:t>tolher favoritismos.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 caso da pena longa, nota-se claramente que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o Juiz está a perseguir os sentenciados com TCP dilatado,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pois ainda que tenham todos os fatores possíveis a seu favor, não serão beneficiados com os institutos atinentes a formas mais amenas de cumprimento da pena.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Uma argumentação também muito comum nas decisões, principalmente quando dizem respeito ao livramento condicional, tem sido o fato de ser prematura a concessão de tal benesse, sempre que o final da pena transpor o ano de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2012.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Sustenta-se que não há prova suficiente de que, em liberdade, o sentenciado não voltará 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delinqüir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 Vale dizer que o juiz da execução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presume,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quando assim motiva sua decisão,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a reincidência futura.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Ora, no Estado de Direito não se pode fazer tal previsão; pois antes da prática de qualquer fato, já se considera a probabilidade de ser praticado um novo delito. No nosso parco entendimento, tal pensamento viola 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presunção de inocência.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Nos dizeres do culto jurista LUÍS ROBERTO BARROSO “O princípio da razoabilidade é um parâmetro de valoração dos atos do Poder Público para aferir se eles estão informados pelo valor superior inerente a todo ordenamento jurídico: a justiça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”.</w:t>
            </w:r>
            <w:bookmarkStart w:id="4" w:name="_ftnref4"/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HYPERLINK "http://www.defensoria.sp.gov.br/dpesp/Conteudos/Materia/MateriaMostra.aspx?idItem=61257&amp;idModulo=9706" \l "_ftn4" \o ""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Hyperlink"/>
                <w:rFonts w:ascii="Verdana" w:hAnsi="Verdana"/>
                <w:color w:val="000000"/>
                <w:sz w:val="20"/>
                <w:szCs w:val="20"/>
              </w:rPr>
              <w:t>[</w:t>
            </w:r>
            <w:proofErr w:type="gramEnd"/>
            <w:r>
              <w:rPr>
                <w:rStyle w:val="Hyperlink"/>
                <w:rFonts w:ascii="Verdana" w:hAnsi="Verdana"/>
                <w:color w:val="000000"/>
                <w:sz w:val="20"/>
                <w:szCs w:val="20"/>
              </w:rPr>
              <w:t>4]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4"/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 ainda cita em sua obra que é razoável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“o que não seja arbitrário ou caprichoso</w:t>
            </w:r>
            <w:proofErr w:type="gramStart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”.</w:t>
            </w:r>
            <w:bookmarkStart w:id="5" w:name="_ftnref5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fldChar w:fldCharType="begin"/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instrText xml:space="preserve"> HYPERLINK "http://www.defensoria.sp.gov.br/dpesp/Conteudos/Materia/MateriaMostra.aspx?idItem=61257&amp;idModulo=9706" \l "_ftn5" \o "" </w:instrTex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[</w:t>
            </w:r>
            <w:proofErr w:type="gramEnd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5]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5"/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(sem destaque no original).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Em sendo a decisão ora guerreada arbitrária, posto que violadora de todos os postulados constitucionais já traçados, obviamente que não atende o senso de justiça, porquanto desarrazoada.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 efeito, o estudo da razoabilidade deve ser realizado, num primeiro momento, dentro da lei; o que vem a ser a razoabilidade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interna.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Vale dizer, é preciso que haja uma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relação racional e proporcional entre seus motivos, meios e fins.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Os motivos são as circunstâncias de fato que levaram à edição da norma. No caso da progressão de regimes e do livramento condicional, podemos dizer que o motivo, além do combate à criminalidade, seria a necessidade de se atender ao cumprimento da pena em etapas, de modo a reinserir gradativamente 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delinqüente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na sociedade, da qual esteve e está temporariamente afastado por descumprir as regras do bom convívio social.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 meio empregado pelo legislador foi então a criação de benefícios com a finalidade de evitar o cumprimento integral da pena em regime fechado, posto que tal não atenderia à ressocialização e reeducação.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Uma vez verificada a razoabilidade interna de tais normas (art. 112 da LEP e art. 83 do CP), necessário a verificação da razoabilidade externa, que pode ser definida como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a adequação aos meios e fins admitidos e preconizados pelo Texto Constitucional.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Assim, da razoabilidade externa extraímos os seguintes requisitos: “(a) da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adequação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que exige que as medidas adotadas pelo Poder Público se mostrem aptas a atingir os objetivos pretendidos; (b)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da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necessidade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ou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exigibilidade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que impõe a verificação da inexistência de meio menos gravoso para atingimento dos fins visados; e (c) da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proporcionalidade em sentido estrito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que é a ponderação entre o ônus imposto e o benefício trazido, para constatar se é justificável a interferência da esfera dos direitos dos cidadãos”.</w:t>
            </w:r>
            <w:bookmarkStart w:id="6" w:name="_ftnref6"/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HYPERLINK "http://www.defensoria.sp.gov.br/dpesp/Conteudos/Materia/MateriaMostra.aspx?idItem=61257&amp;idModulo=9706" \l "_ftn6" \o ""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Hyperlink"/>
                <w:rFonts w:ascii="Verdana" w:hAnsi="Verdana"/>
                <w:color w:val="000000"/>
                <w:sz w:val="20"/>
                <w:szCs w:val="20"/>
              </w:rPr>
              <w:t>[6]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6"/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Nesse caminho, é preciso saber se a medida adotada pelo Juiz da execução penal - pena longa como óbice à concessão de benefícios - é apta a atingir o objetivo, consistente no combate à violência, diminuindo a criminalidade que assola a humanidade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(juízo de adequação)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Em seguida, necessário analisar se o meio empregado (pena longa) é o menos lesivo para combater o crime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(juízo de necessidade ou exigibilidade, também conhecido como proibição do excesso).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 finalmente, mister que se faça um juízo de ponderação entre o ônus imposto (indeferimento das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benesses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) e o benefício trazido (combate à violência) para constatar se é justificável a violação do direito de locomoção dos sentenciados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(proporcionalidade em sentido estrito).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Ora, é do conhecimento de todos que a celeuma em torno da criminalidade não está na severidade ou não das leis penais, mas, sim, na falta de implementação de políticas públicas penitenciárias. Ou seja, o problema não está no Poder Legislativo, mas sim no Executivo, que não tem cumprido com os ditames da Lei das Execuções Penais.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Logo, o encarceramento por maior tempo do que o previsto em lei não resolverá a questão da criminalidade se a finalidade da pena não for perseguida pelas autoridades públicas, principalmente no tocante à ressocialização e reinserção social do preso.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Se o endurecimento das decisões no processo de execução penal não tem resolvido a problemática frente aos altos índices de reincidência, é claro que não está havendo razoabilidade, posto que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o meio empregado não tem sido o mais adequado nem o menos lesivo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motivo pelo qual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não se justifica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 restrição aos vários princípios constitucionais abordados.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Assim, o dia em que o Judiciário, ao invés de fazer às vezes de Legislador,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fizer a de Executor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observadas as limitações dos freios e contrapesos,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forçando a implementação de políticas públicas penitenciárias, a razoabilidade certamente será atingida e a justiça alcançada.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Finalmente, é preciso analisar a decisão com base na pena longa e os limites da livre convicção motivada.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É sabido que a Constituição da República, em seu artigo 93, inciso IX, estabelece que todos os julgamentos dos órgãos do Poder Judiciário serão públicos 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fundamentadas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todas as decisões, sob pena de nulidade.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Já no inciso seguinte dispõe o Texto Constitucional que as decisões administrativas dos tribunais serão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motivadas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 em sessão pública.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Assim, no Brasil vigora o princípio da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livre convicção motivada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que consagra a regra da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independência jurídica do magistrado.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Mas é bom lembrar que essa independência jurídica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não é absoluta, mas submissa ao Estado de Direito, às normas constitucionais e aos dispositivos legais.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Daí a razão da convicção ter de ser motivada no intuito de submeter-se a uma fiscalização, evitando-se assim, abuso de direito.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 eminente jurista NELSON NERY JUNIOR ressalta que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a motivação da sentença pode ser analisada por vários aspectos, que vão desde a necessidade de comunicação judicial, exercício de lógica e atividade intelectual do juiz,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até sua submissão, como ato processual, ao estado de direito e às garantias constitucionais estampadas na CF 5º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, trazendo consequentemente a exigência da imparcialidade do juiz, a publicidade das decisões judiciais,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a legalidade da mesma decisão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...</w:t>
            </w:r>
            <w:bookmarkStart w:id="7" w:name="_ftnref7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fldChar w:fldCharType="begin"/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instrText xml:space="preserve"> HYPERLINK "http://www.defensoria.sp.gov.br/dpesp/Conteudos/Materia/MateriaMostra.aspx?idItem=61257&amp;idModulo=9706" \l "_ftn7" \o "" </w:instrTex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[7]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(grifo nosso).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Nesse diapasão poderíamos dizer que a motivação constitui não só uma garantia política, mas também uma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garantia da própria jurisdição.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Assim sendo, frente ao que dispõem os inúmeros postulados de assento constitucional elencados, não podemos nos conformar e permitir que no futuro continuem a ser profligadas decisões com motivação na longevidade da pena ou na gravidade delitiva, desprezando-se o real conceito legal de mérito do sentenciado.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Caso contrário, estaremos a admitir a utilização do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princípio do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julgamento de acordo com a consciência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que permite ao juiz julgar livremente de acordo com o que lhe parece mais acertado, ainda que não encontre provas para tanto, ou as encontre em sentido contrário. O julgador não precisaria justificar a sua decisão, que pode ser proferida consoante a sua consciência, ainda que sem apoio na prova dos autos.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bookmarkStart w:id="8" w:name="_ftnref8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fldChar w:fldCharType="begin"/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instrText xml:space="preserve"> HYPERLINK "http://www.defensoria.sp.gov.br/dpesp/Conteudos/Materia/MateriaMostra.aspx?idItem=61257&amp;idModulo=9706" \l "_ftn8" \o "" </w:instrTex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Forte"/>
                <w:rFonts w:ascii="Verdana" w:hAnsi="Verdana"/>
                <w:i/>
                <w:iCs/>
                <w:color w:val="000000"/>
                <w:sz w:val="20"/>
                <w:szCs w:val="20"/>
              </w:rPr>
              <w:t>[8]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fldChar w:fldCharType="end"/>
            </w:r>
            <w:bookmarkEnd w:id="8"/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Sim, porque decidir sem levar em conta inúmeras saídas temporárias e ausência de faltas disciplinares é decidir sem apoio na prova dos autos.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Nesse passo é que a Defensoria Pública do Estado de São Paulo vem demonstrar seu inconformismo, posto que gritantemente desrespeitado o Estado de Direito na questão ora suscitada.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Desse modo, fácil concluir que a decisão de indeferimento de determinado benefício, em sede de execução penal, com base exclusivamente na gravidade delitiva e na longevidade da reprimenda, configura lesão à liberdade de locomoção, pelo uso de violência oficial, mediante ilegalidade e abuso de poder.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Fundamentação fática;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Com certa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freqüência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ou melhor, na quase totalidade dos casos, os sentenciados que resgatam suas reprimendas no regime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semi-aberto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têm seus benefícios de progressão ao regime aberto e livramento condicional indeferidos pelo MM. Juiz da 2ª Vara das Execuções Criminais de Bauru, com base única e exclusivamente na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expressiva quantidade de pena ainda por cumprir e na gravidade abstrata do (s) delito (s).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Ainda que a defesa insista no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preenchimento dos requisitos legais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por parte dos presos, e muitas vezes demonstrando méritos mais que suficientes em razão de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 xml:space="preserve">inúmeras saídas temporárias </w:t>
            </w:r>
            <w:proofErr w:type="spellStart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retornadas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ausência de histórico de faltas disciplinares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inclusive atestando a realização de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atividades laborterápicas e intelectuais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durante o cumprimento da pena, o douto Magistrado, ignorando o postulado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da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individualização</w:t>
            </w:r>
            <w:proofErr w:type="spellEnd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 xml:space="preserve"> da pena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tem alegado sua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longevidade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como óbice à concessão das benesses pleiteadas.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Isto tem gerado uma grande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revolta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na população carcerária,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desestimulando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os detentos no tocante ao bom comportamento, pois nada adianta retornarem de saídas temporárias ou realizarem trabalho e estudo durante a execução da pena, visto que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não importarão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para a formação do convencimento do Juiz, que tem vistas apenas para a quantidade da pena ainda por cumprir bem como a gravidade dos crimes cometidos.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 que se tem percebido é que todo sentenciado com término de cumprimento de pena previsto para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 xml:space="preserve">2.012 ou </w:t>
            </w:r>
            <w:proofErr w:type="gramStart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mais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independente</w:t>
            </w:r>
            <w:proofErr w:type="spellEnd"/>
            <w:proofErr w:type="gramEnd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 xml:space="preserve"> de seu histórico carcerário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não tem direito ao livramento condicional ou à progressão para o regime aberto.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Para corroborar o alegado, pedimos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venia</w:t>
            </w:r>
            <w:proofErr w:type="spellEnd"/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para destacar trechos de decisões dando conta da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inidoneidade da fundamentação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da sentença ou do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abuso na livre convicção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por parte do magistrado prolator.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Nos autos nº 471.525, figurando como sentenciado EDSON FERREIRA DOS SANTOS, o regime aberto foi negado com base na quantidade de pena (TCP para 24 de maio de 2016) e na gravidade do delito (roubos qualificados e porte ilegal de arma). Ocorre que na própria decisão o Juiz declarou que o preso foi beneficiado com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DEZESSEIS (16) SAÍDAS TEMPORÁRIAS E SEM APRESENTAR HISTÓRICO DE FALTAS DISCIPLINARES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Já nos autos nº 634.675, sentenciado CRISTIANO ALVES DE SOUZA, o regime aberto foi indeferido porquanto o TCP dar-se-á em 27 de fevereiro de 2015 e o requerente foi condenado por roubos qualificados. Porém apresentou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prognose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positiva, visto que beneficiado com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QUATORZE (14) SAÍDAS TEMPORÁRIAS SEM POSSUIR HISTÓRICO DE FALTAS DISCIPLINARES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 processo 412.089, o sentenciado JOILSON FLORENTINO DA SILVA, que contava com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TREZE (13) SAÍDAS TEMPORÁRIAS RETORNADAS E SEM TER PRATICADO FALTAS DISCIPLINARES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não foi beneficiado com o regime aberto porque condenado por crimes graves (roubos qualificados e homicídio qualificado) tendo, ainda, expressiva quantidade de pena a resgatar (TCP para 24 de junho de 2017).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Continuando, na execução nº 608.917, o sentenciado EDSON DOS SANTOS não logrou êxito ao regime aberto porquanto condenado por roubos qualificados e pena longa (TCP em 07 de setembro de 2013). Contudo, retornou de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DOZE (12) SAÍDAS TEMPORÁRIAS E NÃO COMETEU FALTAS DISCIPLINARES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Já na execução nº 484.466, o sentenciado EDUARDO FERREIRA DE MIRANDA não foi beneficiado com o regime aberto, também porque condenado por roubos qualificados e expressivas penas (TCP em 07 de março de 2016), mesmo tendo em seu favor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ONZE (11) SAÍDAS TEMPORÁRIAS E AUSÊNCIA DE HISTÓRICO DE FALTAS DISCIPLINARES.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Por fim, o sentenciado RODRIGO PEREIRA DOS SANTOS, autos nº 605.199, teve negado seu benefício ao regime aberto, mesmo contando com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DEZ (10) SAÍDAS TEMPORÁRIAS E NÃO TENDO PRATICADO FALTA DISCIPLINAR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Para fins de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livramento condicional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 digna autoridade coatora segue a mesma linha de raciocínio, visto que no processo de CRISTIANO ALVES DE SOUZA indeferiu o benefício porque o TCP está previsto para 27 de fevereiro de 2015, mesmo diante do fato de o sentenciado contar com nada menos que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DOZE (12) SAÍDAS TEMPORÁRIAS E ATESTADO DE BOM DESEMPENHO NA EDUCAÇÃO E ÓTIMO NO TRABALHO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 No mesmo sentido foram as decisões tomadas nos processos nº 665.905 e nº 714.595, cujos sentenciados contavam com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CINCO (05) SAÍDAS TEMPORÁRIAS, TRABALHO E ESTUDO,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respectivamente.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Assim, as decisões do eminente Magistrado têm gerado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reflexos negativos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tanto no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Poder Executivo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como no próprio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Poder Judiciário.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Isso porque ao negar a progressão ao regime aberto ou o livramento condicional, os presos que geralmente encontram-se custodiados em estabelecimento destinado ao cumprimento da pena no regime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semi-aberto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permanecem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em tal local por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expressiva quantidade de tempo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gerando no sistema carcerário uma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superlotação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inaceitável.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Tanto é verdade que na região de Bauru há centenas e centenas de sentenciados cumprindo pena em estabelecimento de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segurança máxima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com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 xml:space="preserve">regime inicial </w:t>
            </w:r>
            <w:proofErr w:type="spellStart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semi-aberto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ou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já beneficiado com o instituto da progressão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justamente por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FALTA DE VAGAS.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Para comprovar o alegado, a Defensoria Pública, por intermédio do subscritor, oficiou aos estabelecimentos prisionais da região e requisitou a remessa da relação de presos que se encontram na situação esposada.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Na Penitenciária II de Pirajuí, por exemplo, há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 xml:space="preserve">116 (cento e dezesseis) presos aguardando transferência para o regime </w:t>
            </w:r>
            <w:proofErr w:type="spellStart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semi-aberto</w:t>
            </w:r>
            <w:proofErr w:type="spellEnd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 xml:space="preserve"> há mais de 03 (três) meses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 Já na Penitenciária I de Pirajuí, há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209 (DUZENTOS E NOVE)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reeducandos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na mesma situação.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Na Penitenciária II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Balbinos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há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 xml:space="preserve">77 (setenta e sete) sentenciados no fechado que deveriam estar no </w:t>
            </w:r>
            <w:proofErr w:type="spellStart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semi-aberto</w:t>
            </w:r>
            <w:proofErr w:type="spellEnd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, fisicamente falando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Vale frisar que faltam outras penitenciárias na relação; apenas demos alguns exemplos da situação caótica da falta de vagas, certamente encontrando-se deste modo por causa de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expressiva contribuição do Magistrado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Isso porque, a rotatividade é inerente ao sistema carcerário, sendo certo que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 xml:space="preserve">o rigor excessivo no julgamento do regime aberto e do livramento condicional faz com que faltem vagas no regime </w:t>
            </w:r>
            <w:proofErr w:type="spellStart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semi-aberto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gerando constrangimento ilegal não só aos presos juridicamente do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semi-aberto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mas fisicamente no fechado, como, também, àqueles que deveriam, por lei, encontrar-se no aberto ou no livramento condicional.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 justamente sobre esta problemática é que o Judiciário não pode e não deve fazer vista grossa atribuindo a culpa com exclusividade ao Executivo, em razão da desídia estatal no tocante à construção de mais estabelecimentos prisionais.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 não é só. As hodiernas e futuras decisões arbitrárias que ora se analisa gerarão – e já têm o feito –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um número expressivo de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>habeas corpus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 de agravo em execução a serem julgados pelo Egrégio Tribunal de Justiça. Basta analisar que na região de Bauru há cerca de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12.000 (doze mil) processos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em andamento.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À evidência que tal fator tem levado a um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congestionamento do Poder Judiciário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mormente porque, muitas vezes, o E. Tribunal de Justiça de São Paulo não tem conhecido das impetrações, o que tem culminado com centenas de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habeas corpus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impetrados mensalmente no Superior Tribunal de Justiça, apenas pela Defensoria de Bauru.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Este Colendo Superior Tribunal, por sua vez, tem entendido majoritariamente, que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é cabível o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>habeas corpus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para sanar a ilegalidade da decisão com base na pena longa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o que tem feito os autos retornarem ao tribunal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a quo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para análise do mérito, ante a vedação da supressão de instância.</w:t>
            </w:r>
          </w:p>
          <w:p w:rsidR="00BC16BA" w:rsidRDefault="00BC16BA">
            <w:pPr>
              <w:pStyle w:val="NormalWeb"/>
              <w:spacing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Toda problemática aqui enfrentada poderia ser sanada com a determinação no sentido de que o magistrado de primeiro grau decida acerca dos benefícios com base nos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estritos ditames da lei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sem que tal implique no desprestígio da livre convicção, o que foi abordado com maior profundidade no tópico supra (fundamentação jurídica).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Sugestão de operacionalização;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Ficou evidente que a decisão discutida na presente tese apresenta fundamentação inidônea geradora de constrangimento ilegal consistente na afronta à liberdade de locomoção dos sentenciados que preencheram os requisitos legais, porém possuem considerável quantidade de pena ainda por cumprir.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Entendemos perfeitamente cabível a impetração de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b/>
                <w:bCs/>
                <w:color w:val="000000"/>
                <w:sz w:val="20"/>
                <w:szCs w:val="20"/>
              </w:rPr>
              <w:t>habeas corpus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preventivo coletivo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com o objetivo de afastar o risco de dano irreparável ou de difícil reparação à liberdade dos sentenciados que possuem pedidos de progressão de regime e de livramento condicional pendentes de julgamento.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 veiculação da matéria através do “remédio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heróico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” é compatível com o rito sumaríssimo e célere do “habeas”, pois se trata de questão exclusivamente de direito, isto é, técnico-jurídica, não havendo falar-se em exame aprofundado de material fático-probatório.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Isso porque a única coisa que se discute é a possibilidade ou a impossibilidade de se decidir pelo não preenchimento do requisito subjetivo (mérito do sentenciado) unicamente em razão da quantidade de pena por cumprir e na gravidade do delito cometido.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 tocante à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coletividade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da ação constitucional, não vemos qualquer embaraço na impetração, pois todos os presos com expressiva quantidade de pena a resgatar incontestavelmente serão violados no direito de ir e vir, uma vez que o magistrado não concederá as benesses pleiteadas, posto que, no seu entendimento, estaria ausente o requisito subjetivo.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Finalmente, 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prevenção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também se mostra em perfeita harmonia com o caso em testilha, pois basta colacionar ao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habeas corpus,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cópias de decisões já proferidas com base na motivação inidônea em comento, para que o tribunal perceba que as futuras sentenças seguirão a mesma razão de decidir.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Ora, ante a imensidão de processos que tramitam perante uma Vara de Execução Criminal, é sabido que, na prática, o juiz acaba alterando apenas o nome do sentenciado, mantendo, no mais, a mesma fundamentação jurídica.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Daí a possibilidade de concluirmos que, se decisões passadas ocasionaram constrangimento ilegal, certamente as futuras ocasionarão.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 maior desafio da Defensoria Pública no caso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sub examine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é convencer o tribunal que não se pretende com a impetração tolher a livre convicção do magistrado, mas sim que o seu convencimento seja formado com base nos ditames legais e constitucionais. Até porque a liberdade de convencimento não é absoluta, mas relativa, sendo a impossibilidade de fundamentação inidônea um importante instrumento de contenção de eventuais abusos por parte do julgador.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 pedido a ser veiculado, portanto, é pela concessão da ordem com a determinação de que o juiz esteja impedido de decidir pela carência do requisito subjetivo com base única e exclusiva na gravidade delitiva e na longevidade da pena.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Outra providência de suma importância seria 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sustentação oral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com o escopo de sensibilizar os desembargadores, principalmente na questão da problemática que vem sendo gerada pela decisão em tela, no tocante à falta de vagas nos estabelecimentos prisionais de semiliberdade e em relação ao congestionamento do Judiciário face ao elevado número de impetrações de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habeas corpus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contra idêntica decisão que vem sendo prolatada em algumas varas de execução criminal.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Na hipótese de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não conhecimento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da impetração restaria, ainda, uma saída, qual seja o ajuizamento de uma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argüição</w:t>
            </w:r>
            <w:proofErr w:type="spellEnd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 xml:space="preserve"> de descumprimento de preceito fundamental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posto que a decisão com base na pena longa malfere inúmeros postulados de índole constitucional.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Salvo melhor juízo 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20"/>
                <w:szCs w:val="20"/>
              </w:rPr>
              <w:t>habeas corpus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pode perfeitamente ser utilizado no presente caso; todavia, se este não for o entendimento dos tribunais, cabível a supracitada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argüição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como única medida de caráter coletivo eficaz para sanar a lesividade (princípio da subsidiariedade).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Assim, caberia à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ANADEP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 ajuizamento de ADPF preventiva para evitar lesão a preceito fundamental, resultante de ato do Poder Público. O interessante é que a decisão do Supremo Tribunal Federal, se acaso desrespeitada, autoriza o ajuizamento de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reclamação.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Por fim, o objetivo da Defensoria com tais medidas é que,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pelo menos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a questão venha a ser no futuro,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sumulada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pelo Superior Tribunal de Justiça ou pelo Supremo Tribunal Federal, posto que a jurisprudência majoritária caminha pela impossibilidade de fundamentar a decisão com base tão-somente na longevidade da pena.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Conclusão.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Requer o subscritor a inscrição e o recebimento da proposta apresentada, para que seja avaliada pela carreira no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Pré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-Encontro Estadual de Defensores Públicos da Área da Execução Penal.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Termos em que,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p. deferimento.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Bauru, 23 de julho de 2009.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BC16BA" w:rsidRDefault="00BC16BA">
            <w:pPr>
              <w:pStyle w:val="NormalWeb"/>
              <w:spacing w:before="0" w:beforeAutospacing="0" w:after="200" w:afterAutospacing="0" w:line="270" w:lineRule="atLeast"/>
              <w:ind w:firstLine="170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MÁRIO LÚCIO PEREIRA MACHADO</w:t>
            </w:r>
          </w:p>
          <w:p w:rsidR="00BC16BA" w:rsidRDefault="00BC16BA" w:rsidP="00BC16BA">
            <w:pPr>
              <w:spacing w:line="195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 w:type="textWrapping" w:clear="all"/>
            </w:r>
          </w:p>
          <w:p w:rsidR="00BC16BA" w:rsidRDefault="00BC16BA" w:rsidP="00BC16BA">
            <w:pPr>
              <w:spacing w:line="195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pict>
                <v:rect id="_x0000_i1025" style="width:140.3pt;height:.75pt" o:hrpct="330" o:hrstd="t" o:hr="t" fillcolor="#a0a0a0" stroked="f"/>
              </w:pict>
            </w:r>
          </w:p>
          <w:bookmarkStart w:id="9" w:name="_ftn1"/>
          <w:p w:rsidR="00BC16BA" w:rsidRDefault="00BC16BA" w:rsidP="00BC16BA">
            <w:pPr>
              <w:pStyle w:val="NormalWeb"/>
              <w:spacing w:line="195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"http://www.defensoria.sp.gov.br/dpesp/Conteudos/Materia/MateriaMostra.aspx?idItem=61257&amp;idModulo=9706" \l "_ftnref1" \o ""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Hyperlink"/>
                <w:rFonts w:ascii="Verdana" w:hAnsi="Verdana"/>
                <w:color w:val="000000"/>
                <w:sz w:val="20"/>
                <w:szCs w:val="20"/>
              </w:rPr>
              <w:t>[1]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9"/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Lammêgo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Bulos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Uadi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;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18"/>
                <w:szCs w:val="18"/>
              </w:rPr>
              <w:t>Curso de Direito Constitucional,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2ª ed., Saraiva, p. 425-6.</w:t>
            </w:r>
          </w:p>
          <w:bookmarkStart w:id="10" w:name="_ftn2"/>
          <w:p w:rsidR="00BC16BA" w:rsidRDefault="00BC16BA" w:rsidP="00BC16BA">
            <w:pPr>
              <w:pStyle w:val="NormalWeb"/>
              <w:spacing w:line="195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"http://www.defensoria.sp.gov.br/dpesp/Conteudos/Materia/MateriaMostra.aspx?idItem=61257&amp;idModulo=9706" \l "_ftnref2" \o ""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Hyperlink"/>
                <w:rFonts w:ascii="Verdana" w:hAnsi="Verdana"/>
                <w:color w:val="000000"/>
                <w:sz w:val="20"/>
                <w:szCs w:val="20"/>
              </w:rPr>
              <w:t>[2]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0"/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18"/>
                <w:szCs w:val="18"/>
              </w:rPr>
              <w:t>Direito Constitucional,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15ª ed., Atlas, p. 142.</w:t>
            </w:r>
          </w:p>
          <w:bookmarkStart w:id="11" w:name="_ftn3"/>
          <w:p w:rsidR="00BC16BA" w:rsidRDefault="00BC16BA" w:rsidP="00BC16BA">
            <w:pPr>
              <w:pStyle w:val="NormalWeb"/>
              <w:spacing w:line="195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"http://www.defensoria.sp.gov.br/dpesp/Conteudos/Materia/MateriaMostra.aspx?idItem=61257&amp;idModulo=9706" \l "_ftnref3" \o ""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Hyperlink"/>
                <w:rFonts w:ascii="Verdana" w:hAnsi="Verdana"/>
                <w:color w:val="000000"/>
                <w:sz w:val="20"/>
                <w:szCs w:val="20"/>
              </w:rPr>
              <w:t>[3]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1"/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Lammêgo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Bulos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Uadi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Curso de Direito Constitucional, 2ª ed., Saraiva, p. 396.</w:t>
            </w:r>
          </w:p>
          <w:bookmarkStart w:id="12" w:name="_ftn4"/>
          <w:p w:rsidR="00BC16BA" w:rsidRDefault="00BC16BA" w:rsidP="00BC16BA">
            <w:pPr>
              <w:pStyle w:val="NormalWeb"/>
              <w:spacing w:line="195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"http://www.defensoria.sp.gov.br/dpesp/Conteudos/Materia/MateriaMostra.aspx?idItem=61257&amp;idModulo=9706" \l "_ftnref4" \o ""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Hyperlink"/>
                <w:rFonts w:ascii="Verdana" w:hAnsi="Verdana"/>
                <w:color w:val="000000"/>
                <w:sz w:val="20"/>
                <w:szCs w:val="20"/>
              </w:rPr>
              <w:t>[4]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2"/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18"/>
                <w:szCs w:val="18"/>
              </w:rPr>
              <w:t>Interpretação a aplicação da Constituição,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6ª ed., Saraiva, p. 224.</w:t>
            </w:r>
          </w:p>
          <w:bookmarkStart w:id="13" w:name="_ftn5"/>
          <w:p w:rsidR="00BC16BA" w:rsidRPr="00BC16BA" w:rsidRDefault="00BC16BA" w:rsidP="00BC16BA">
            <w:pPr>
              <w:pStyle w:val="NormalWeb"/>
              <w:spacing w:line="195" w:lineRule="atLeast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BC16BA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instrText xml:space="preserve"> HYPERLINK "http://www.defensoria.sp.gov.br/dpesp/Conteudos/Materia/MateriaMostra.aspx?idItem=61257&amp;idModulo=9706" \l "_ftnref5" \o ""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BC16BA">
              <w:rPr>
                <w:rStyle w:val="Hyperlink"/>
                <w:rFonts w:ascii="Verdana" w:hAnsi="Verdana"/>
                <w:color w:val="000000"/>
                <w:sz w:val="20"/>
                <w:szCs w:val="20"/>
                <w:lang w:val="en-US"/>
              </w:rPr>
              <w:t>[5]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3"/>
            <w:r w:rsidRPr="00BC16BA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lang w:val="en-US"/>
              </w:rPr>
              <w:t> </w:t>
            </w:r>
            <w:r w:rsidRPr="00BC16BA">
              <w:rPr>
                <w:rStyle w:val="nfase"/>
                <w:rFonts w:ascii="Verdana" w:eastAsiaTheme="majorEastAsia" w:hAnsi="Verdana"/>
                <w:color w:val="000000"/>
                <w:sz w:val="18"/>
                <w:szCs w:val="18"/>
                <w:lang w:val="en-US"/>
              </w:rPr>
              <w:t>Op. Cit.,</w:t>
            </w:r>
            <w:r w:rsidRPr="00BC16BA">
              <w:rPr>
                <w:rStyle w:val="apple-converted-space"/>
                <w:rFonts w:ascii="Verdana" w:hAnsi="Verdana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BC16BA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p. 224</w:t>
            </w:r>
            <w:r w:rsidRPr="00BC16BA">
              <w:rPr>
                <w:rStyle w:val="nfase"/>
                <w:rFonts w:ascii="Verdana" w:eastAsiaTheme="majorEastAsia" w:hAnsi="Verdana"/>
                <w:color w:val="000000"/>
                <w:sz w:val="18"/>
                <w:szCs w:val="18"/>
                <w:lang w:val="en-US"/>
              </w:rPr>
              <w:t>.</w:t>
            </w:r>
          </w:p>
          <w:bookmarkStart w:id="14" w:name="_ftn6"/>
          <w:p w:rsidR="00BC16BA" w:rsidRPr="00BC16BA" w:rsidRDefault="00BC16BA" w:rsidP="00BC16BA">
            <w:pPr>
              <w:pStyle w:val="NormalWeb"/>
              <w:spacing w:line="195" w:lineRule="atLeast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BC16BA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instrText xml:space="preserve"> HYPERLINK "http://www.defensoria.sp.gov.br/dpesp/Conteudos/Materia/MateriaMostra.aspx?idItem=61257&amp;idModulo=9706" \l "_ftnref6" \o ""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BC16BA">
              <w:rPr>
                <w:rStyle w:val="Hyperlink"/>
                <w:rFonts w:ascii="Verdana" w:hAnsi="Verdana"/>
                <w:color w:val="000000"/>
                <w:sz w:val="20"/>
                <w:szCs w:val="20"/>
                <w:lang w:val="en-US"/>
              </w:rPr>
              <w:t>[6]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4"/>
            <w:r w:rsidRPr="00BC16BA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lang w:val="en-US"/>
              </w:rPr>
              <w:t> </w:t>
            </w:r>
            <w:r w:rsidRPr="00BC16BA">
              <w:rPr>
                <w:rStyle w:val="nfase"/>
                <w:rFonts w:ascii="Verdana" w:eastAsiaTheme="majorEastAsia" w:hAnsi="Verdana"/>
                <w:color w:val="000000"/>
                <w:sz w:val="18"/>
                <w:szCs w:val="18"/>
                <w:lang w:val="en-US"/>
              </w:rPr>
              <w:t>Op. Cit.,</w:t>
            </w:r>
            <w:r w:rsidRPr="00BC16BA">
              <w:rPr>
                <w:rStyle w:val="apple-converted-space"/>
                <w:rFonts w:ascii="Verdana" w:hAnsi="Verdana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BC16BA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p. 229.</w:t>
            </w:r>
          </w:p>
          <w:bookmarkStart w:id="15" w:name="_ftn7"/>
          <w:p w:rsidR="00BC16BA" w:rsidRDefault="00BC16BA" w:rsidP="00BC16BA">
            <w:pPr>
              <w:pStyle w:val="NormalWeb"/>
              <w:spacing w:line="195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"http://www.defensoria.sp.gov.br/dpesp/Conteudos/Materia/MateriaMostra.aspx?idItem=61257&amp;idModulo=9706" \l "_ftnref7" \o ""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Hyperlink"/>
                <w:rFonts w:ascii="Verdana" w:hAnsi="Verdana"/>
                <w:color w:val="000000"/>
                <w:sz w:val="20"/>
                <w:szCs w:val="20"/>
              </w:rPr>
              <w:t>[7]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5"/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18"/>
                <w:szCs w:val="18"/>
              </w:rPr>
              <w:t>Princípios do Processo na Constituição Federal,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9ª ed., RT, p. 286.</w:t>
            </w:r>
          </w:p>
          <w:bookmarkStart w:id="16" w:name="_ftn8"/>
          <w:p w:rsidR="00BC16BA" w:rsidRDefault="00BC16BA" w:rsidP="00BC16BA">
            <w:pPr>
              <w:pStyle w:val="NormalWeb"/>
              <w:spacing w:line="195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"http://www.defensoria.sp.gov.br/dpesp/Conteudos/Materia/MateriaMostra.aspx?idItem=61257&amp;idModulo=9706" \l "_ftnref8" \o ""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Hyperlink"/>
                <w:rFonts w:ascii="Verdana" w:hAnsi="Verdana"/>
                <w:color w:val="000000"/>
                <w:sz w:val="20"/>
                <w:szCs w:val="20"/>
              </w:rPr>
              <w:t>[8]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6"/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Rios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Gonçalvez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Marcus Vinicius;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nfase"/>
                <w:rFonts w:ascii="Verdana" w:eastAsiaTheme="majorEastAsia" w:hAnsi="Verdana"/>
                <w:color w:val="000000"/>
                <w:sz w:val="18"/>
                <w:szCs w:val="18"/>
              </w:rPr>
              <w:t>Novo Curso de Direito Processual Civil,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3ª ed., Saraiva, p. 40.</w:t>
            </w:r>
          </w:p>
        </w:tc>
      </w:tr>
      <w:tr w:rsidR="00BC16BA" w:rsidTr="00BC16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16BA" w:rsidRDefault="00BC16B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lastRenderedPageBreak/>
              <w:pict>
                <v:rect id="_x0000_i1026" style="width:15in;height:.75pt" o:hrpct="0" o:hralign="center" o:hrstd="t" o:hrnoshade="t" o:hr="t" fillcolor="#d06060" stroked="f"/>
              </w:pict>
            </w:r>
          </w:p>
          <w:p w:rsidR="00BC16BA" w:rsidRDefault="00BC16BA">
            <w:pPr>
              <w:jc w:val="center"/>
              <w:rPr>
                <w:rFonts w:ascii="Verdana" w:hAnsi="Verdana"/>
              </w:rPr>
            </w:pPr>
            <w:hyperlink r:id="rId10" w:tooltip="Imprimir" w:history="1">
              <w:r>
                <w:rPr>
                  <w:rFonts w:ascii="Verdana" w:hAnsi="Verdana"/>
                  <w:noProof/>
                  <w:color w:val="0265CC"/>
                  <w:sz w:val="18"/>
                  <w:szCs w:val="18"/>
                  <w:bdr w:val="none" w:sz="0" w:space="0" w:color="auto" w:frame="1"/>
                  <w:lang w:eastAsia="pt-BR"/>
                </w:rPr>
                <w:drawing>
                  <wp:inline distT="0" distB="0" distL="0" distR="0">
                    <wp:extent cx="155575" cy="155575"/>
                    <wp:effectExtent l="0" t="0" r="0" b="0"/>
                    <wp:docPr id="36" name="Imagem 36" descr="http://www.defensoria.sp.gov.br/dpesp/imagens/imprimir.gif">
                      <a:hlinkClick xmlns:a="http://schemas.openxmlformats.org/drawingml/2006/main" r:id="rId10" tooltip="&quot;Imprimir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" descr="http://www.defensoria.sp.gov.br/dpesp/imagens/imprimir.gif">
                              <a:hlinkClick r:id="rId10" tooltip="&quot;Imprimir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575" cy="155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Verdana" w:hAnsi="Verdana"/>
                  <w:color w:val="0265CC"/>
                  <w:sz w:val="18"/>
                  <w:szCs w:val="18"/>
                  <w:bdr w:val="none" w:sz="0" w:space="0" w:color="auto" w:frame="1"/>
                </w:rPr>
                <w:t>Imprimir</w:t>
              </w:r>
            </w:hyperlink>
            <w:r>
              <w:rPr>
                <w:rStyle w:val="apple-converted-space"/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 </w:t>
            </w:r>
            <w:hyperlink r:id="rId11" w:tooltip="Enviar por Email" w:history="1">
              <w:r>
                <w:rPr>
                  <w:rFonts w:ascii="Verdana" w:hAnsi="Verdana"/>
                  <w:noProof/>
                  <w:color w:val="0265CC"/>
                  <w:sz w:val="18"/>
                  <w:szCs w:val="18"/>
                  <w:bdr w:val="none" w:sz="0" w:space="0" w:color="auto" w:frame="1"/>
                  <w:lang w:eastAsia="pt-BR"/>
                </w:rPr>
                <w:drawing>
                  <wp:inline distT="0" distB="0" distL="0" distR="0">
                    <wp:extent cx="155575" cy="155575"/>
                    <wp:effectExtent l="0" t="0" r="0" b="0"/>
                    <wp:docPr id="35" name="Imagem 35" descr="http://www.defensoria.sp.gov.br/dpesp/imagens/email/email.gif">
                      <a:hlinkClick xmlns:a="http://schemas.openxmlformats.org/drawingml/2006/main" r:id="rId6" tooltip="&quot;Enviar por Email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5" descr="http://www.defensoria.sp.gov.br/dpesp/imagens/email/email.gif">
                              <a:hlinkClick r:id="rId6" tooltip="&quot;Enviar por Email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575" cy="155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Verdana" w:hAnsi="Verdana"/>
                  <w:color w:val="0265CC"/>
                  <w:sz w:val="18"/>
                  <w:szCs w:val="18"/>
                  <w:bdr w:val="none" w:sz="0" w:space="0" w:color="auto" w:frame="1"/>
                </w:rPr>
                <w:t>Enviar</w:t>
              </w:r>
            </w:hyperlink>
            <w:r>
              <w:rPr>
                <w:rStyle w:val="apple-converted-space"/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 </w:t>
            </w:r>
            <w:hyperlink r:id="rId12" w:history="1">
              <w:r>
                <w:rPr>
                  <w:rFonts w:ascii="Verdana" w:hAnsi="Verdana"/>
                  <w:noProof/>
                  <w:color w:val="D9661A"/>
                  <w:sz w:val="17"/>
                  <w:szCs w:val="17"/>
                  <w:bdr w:val="none" w:sz="0" w:space="0" w:color="auto" w:frame="1"/>
                  <w:lang w:eastAsia="pt-BR"/>
                </w:rPr>
                <w:drawing>
                  <wp:inline distT="0" distB="0" distL="0" distR="0">
                    <wp:extent cx="155575" cy="155575"/>
                    <wp:effectExtent l="0" t="0" r="0" b="0"/>
                    <wp:docPr id="34" name="Imagem 34" descr="http://www.defensoria.sp.gov.br/dpesp/imagens/fechar.gif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6" descr="http://www.defensoria.sp.gov.br/dpesp/imagens/fechar.gif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575" cy="155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Verdana" w:hAnsi="Verdana"/>
                  <w:color w:val="D9661A"/>
                  <w:sz w:val="17"/>
                  <w:szCs w:val="17"/>
                  <w:bdr w:val="none" w:sz="0" w:space="0" w:color="auto" w:frame="1"/>
                </w:rPr>
                <w:t>Fechar</w:t>
              </w:r>
            </w:hyperlink>
          </w:p>
        </w:tc>
      </w:tr>
    </w:tbl>
    <w:p w:rsidR="00B25797" w:rsidRPr="00BC16BA" w:rsidRDefault="00B25797" w:rsidP="00BC16BA"/>
    <w:sectPr w:rsidR="00B25797" w:rsidRPr="00BC1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97"/>
    <w:rsid w:val="00107AAF"/>
    <w:rsid w:val="001D48AC"/>
    <w:rsid w:val="0074476E"/>
    <w:rsid w:val="00860929"/>
    <w:rsid w:val="009B3B61"/>
    <w:rsid w:val="00B25797"/>
    <w:rsid w:val="00BC16BA"/>
    <w:rsid w:val="00C21B43"/>
    <w:rsid w:val="00D12814"/>
    <w:rsid w:val="00D72054"/>
    <w:rsid w:val="00D905A0"/>
    <w:rsid w:val="00E7350A"/>
    <w:rsid w:val="00E8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18A4A-D9F4-45FE-B01E-3CAA18EE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81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C21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25797"/>
  </w:style>
  <w:style w:type="character" w:styleId="nfase">
    <w:name w:val="Emphasis"/>
    <w:basedOn w:val="Fontepargpadro"/>
    <w:uiPriority w:val="20"/>
    <w:qFormat/>
    <w:rsid w:val="00B25797"/>
    <w:rPr>
      <w:i/>
      <w:iCs/>
    </w:rPr>
  </w:style>
  <w:style w:type="character" w:styleId="Forte">
    <w:name w:val="Strong"/>
    <w:basedOn w:val="Fontepargpadro"/>
    <w:uiPriority w:val="22"/>
    <w:qFormat/>
    <w:rsid w:val="00B2579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2579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21B4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81C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odulo">
    <w:name w:val="modulo"/>
    <w:basedOn w:val="Fontepargpadro"/>
    <w:rsid w:val="00E8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849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52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4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822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mdCancela0',''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javascript:__doPostBack('cmdCancela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var%20Abre=window.open('/dpesp/Admin/EmailEnvia.aspx?idPagina=5845&amp;idItem=61257','','width=500,%20height=400,%20statusbar=yes,%20toolbar=no,%20scrollbars=yes,%20resizable=yes')" TargetMode="External"/><Relationship Id="rId11" Type="http://schemas.openxmlformats.org/officeDocument/2006/relationships/hyperlink" Target="javascript:%20var%20Abre=window.open('/dpesp/Admin/EmailEnvia.aspx?idPagina=5845&amp;idItem=61257','','width=500,%20height=400,%20statusbar=yes,%20toolbar=no,%20scrollbars=yes,%20resizable=yes')" TargetMode="External"/><Relationship Id="rId5" Type="http://schemas.openxmlformats.org/officeDocument/2006/relationships/image" Target="media/image1.gif"/><Relationship Id="rId10" Type="http://schemas.openxmlformats.org/officeDocument/2006/relationships/hyperlink" Target="javascript:%20var%20imprime=window.print()" TargetMode="External"/><Relationship Id="rId4" Type="http://schemas.openxmlformats.org/officeDocument/2006/relationships/hyperlink" Target="javascript:%20var%20imprime=window.print()" TargetMode="Externa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5863</Words>
  <Characters>31666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Santos Ryu</dc:creator>
  <cp:keywords/>
  <dc:description/>
  <cp:lastModifiedBy>Daiana Santos Ryu</cp:lastModifiedBy>
  <cp:revision>2</cp:revision>
  <dcterms:created xsi:type="dcterms:W3CDTF">2015-09-14T22:05:00Z</dcterms:created>
  <dcterms:modified xsi:type="dcterms:W3CDTF">2015-09-14T22:05:00Z</dcterms:modified>
</cp:coreProperties>
</file>