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CHA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 28</w:t>
      </w:r>
    </w:p>
    <w:p w:rsidR="004A7231" w:rsidRDefault="004A7231" w:rsidP="000B18AB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FAIRNESS TO</w:t>
      </w:r>
      <w:r w:rsidR="000B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RIGHTNESS:</w:t>
      </w: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JURISDICTION,</w:t>
      </w:r>
      <w:r w:rsidR="000B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LEGALITY, AND THE</w:t>
      </w: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LEGITIMACY OF</w:t>
      </w:r>
      <w:r w:rsidR="000B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CRIM</w:t>
      </w:r>
      <w:bookmarkStart w:id="0" w:name="_GoBack"/>
      <w:bookmarkEnd w:id="0"/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INAL LAW</w:t>
      </w: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4A7231" w:rsidRDefault="000B18AB" w:rsidP="000B18A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DAVID LUBAN</w:t>
      </w:r>
      <w:r w:rsidR="004A7231" w:rsidRPr="004A723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7231" w:rsidRPr="004A7231" w:rsidRDefault="000B18AB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I. WHAT IS INTERNATIONAL CRIMINAL LAW?</w:t>
      </w:r>
    </w:p>
    <w:p w:rsidR="004A7231" w:rsidRPr="004A7231" w:rsidRDefault="000B18AB" w:rsidP="004A7231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0B18AB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As the name suggests, ‘international criminal law’ (ICL) refers to applications of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law across borders. ICL encompasses three overlapping bodies of law:</w:t>
      </w: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Domestic criminal law applied transnationally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. The oldest and least controversial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the application of a state’s domestic criminal law to conduct outside the state’s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borders. Criminal law represents governments’ efforts to protect important societal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interests, and obviously assaults on those interests can come from outside the state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 well as inside. A hacker in Russia steals identities in Argentina; drug smugglers in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Malaysia conspire to sell heroin in the United States; a sniper in Serbia assassinates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p.570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a pedestrian in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Bosnia. There is nothing conceptually problematic about Argentina,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Bosnia, or the United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States recognizing these as domestic-law crimes and punishing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perpetrators if the states can catch them. Difficulties arise only because conduct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outside one state’s territory almost always occurs within the territory of another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 with its own sovereign interests. That raises questions of which state interests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justify transgressing borders to legislate conduct in another state’s territory, 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how states should resolve conflicts over criminal jurisdiction. These are profound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questions, bec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ause seemingly-arcane issues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jurisdiction mirror philosophical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issues about state sovereignty and its limits.</w:t>
      </w: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Traditional legal theory offers well-defined answers to the first question.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theory begins with the recognition that a state consists of a territory, the people who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live in it, and a government. These are, of course, merely the material constituents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state—its Aristotelian ‘material cause’—and a complete theory of the state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would also need to specify the structural relationships among these constituents 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aims of state organization: the state’s formal and final causes. But the traditional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legal theory derives state interests from the constituent elements alone, generating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four jurisdictional principles:</w:t>
      </w:r>
    </w:p>
    <w:p w:rsidR="000B18AB" w:rsidRDefault="000B18AB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territorial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which gives states jurisdiction over crimes committed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their territories, as well as crimes committed elsewhere with effects in their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territories.</w:t>
      </w:r>
    </w:p>
    <w:p w:rsidR="000B18AB" w:rsidRDefault="000B18AB" w:rsidP="000B18AB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nationality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, which gives 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states jurisdiction over crimes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committed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by their own nationals.</w:t>
      </w:r>
    </w:p>
    <w:p w:rsidR="000B18AB" w:rsidRDefault="000B18AB" w:rsidP="000B18AB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P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passive personality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 which gives states jurisdiction over crimes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committed against their nationals.</w:t>
      </w:r>
    </w:p>
    <w:p w:rsid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protective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which gives states jurisdiction over crimes committed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vital governmental interests—crimes like espionage, for example, or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counterfeiting the state’s currency, or smuggling immigrants or contraband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across its borders.</w:t>
      </w:r>
    </w:p>
    <w:p w:rsidR="000B18AB" w:rsidRDefault="000B18AB" w:rsidP="000B18AB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These familiar principles are staples of every international law textbook. That does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mean they lack challenges or perplexities; some states push the principles further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others are willing to accept. The fact remains, however, that all states accept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core of the four principles.</w:t>
      </w: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Most states also accept—in theory, at least—so-called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universal criminal jurisdiction</w:t>
      </w:r>
      <w:r w:rsidR="000B18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(UCJ), which allows any state to prosecute certain crimes committed anywhere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 world. Grotius asserted that every state has jurisdiction over ‘gross violations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law of nature and of nations, done to other states and subjects’.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However,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many years, piracy was the only recognized UCJ crime, not because of its moral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p.571</w:t>
      </w:r>
      <w:r w:rsid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awfulness but because it is committed outside the territorial jurisdiction of all states.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More recently, legislators as well as theorists have returned to Grotius’s ‘moralized’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rationale, and proposed UCJ over the narrow set of crimes that are subject to international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tribunals: genocide, crimes against humanity, war crimes, and torture. But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this proposal has met with mixed responses among states as well as theorists, and in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recent years has encountered significant political opposition. The opposition arises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from the fear that UCJ would lead to politicized prosecutions. During a short 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ill-fated experiment with universal jurisdiction, Belgium launched investigations,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many based on complaints by advocacy groups, of numerous world leaders—until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threats by the United States forced Belgium to repeal its UCJ statute.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Critics charged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Belgium’s courts had become the tool of political interests. But supporters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UCJ can respond (rightly, in my view) that the real politicized abuses in such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cases are the crimes politicians commit under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their office, nonchalantly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assuming that their power should grant them impunity.</w:t>
      </w: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theoretical question arises of what state interests UCJ serves. Universal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jurisdiction does not assume any tangible connection between the crime and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state. It seems, therefore, that UCJ can be justified only if states have distinctively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moral interests in repressing crimes (or at least certain crimes) wherever they occur.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assumption is hard to reconcile with liberal or minimalist accounts of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legitimacy of state power: liberals generally suppose that states have no self-standing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moral interests, and minimalists argue that legitimate state power includes only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smallest set of powers necessary to protect the security and well-being of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state’s citizens. In my view, the real basis for UCJ lies in the idea that perpetrators of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infamies offend not against state interests but human interests—the perpetrators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indeed ‘enemies of all mankind’—and that states prosecuting infamies under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UCJ act merely as surrogates. This assumption that major international crimes are,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quite literally, crimes against humanity (regardless of their legal label), is debatable.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But the assumption u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nderlies not only UCJ, but also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tribunals to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p.572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try these crimes. Without it we shall have a hard time justifying any distinctively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criminal law.</w:t>
      </w:r>
    </w:p>
    <w:p w:rsidR="000B18AB" w:rsidRDefault="000B18AB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Treaty-based or ‘hybrid’ transnational criminal law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. Beginning in the early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twentieth century, states began to recognize that crimes committed by multi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national criminal gangs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can be repressed only through intern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ational cooperation. The result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has been multilateral treaties on subjects rangi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ng from counterfeiting and drug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trafficking to war crimes and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apartheid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. The treaties share a common structure: they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require parties to enact domestic criminal laws ag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ainst the conduct; they require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parties with custody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an accused offender either to extradite the suspect to 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 with jurisdiction over the crime or to pros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ecute the crime themselves;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require parties to establish a kind of UCJ tha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 will enable them to prosecute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crime if extradition fails. Treaty-based inter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national crimes are a hybrid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domestic criminal law applied transnationally and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what I shall later call ‘pure’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criminal law. On the domestic-law side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, the point of the treaty is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get states to use their municipal legal systems to repre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ss crimes like aerial hijacking or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narco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-trafficking. On the international side, 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owever, these treaties create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distinctive kind of domestic criminal law: a body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 criminal laws governing deeds of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rather than merely domestic con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cern—laws, moreover, that would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exist without internati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onal efforts to establish them.</w:t>
      </w:r>
    </w:p>
    <w:p w:rsidR="00B369E5" w:rsidRDefault="00B369E5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‘Pure’ ICL.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Finally, there is a distinctive body of 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aw that originated in the post-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War II international tribunals, designed to pu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nish a handful of the most evil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crimes: crimes against humanity, genocide, serious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war crimes, and aggressive war. Most people who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speak of ICL have these crimes and these 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ribunals in mind. There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no accepted name for this category of crimes.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One might call them ‘the great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crimes’, because they represent the very worst atroci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ties that people commit against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each other. Typically, they are mass atrocities; indeed some schola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rs (not including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me) argue they must meet some threshold level of 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wfulness, involving hundreds 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thousands of victims, before they become the legitimat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e business of the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community rather than domestic criminal justice systems. One might als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 call them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‘tribunal crimes’, because they are the subject-ma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tter of the Nuremberg and Tokyo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tribunals, the International Criminal Tribunal f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or the Former Yugoslavia (ICTY)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the International Criminal Tribunal for Rw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anda (ICTR), the Special Courts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Sierra Leone, Cambodia, and East Timor, and 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he International Criminal Court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(ICC). But ‘tribunal crimes’ is not entirely accurate: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States can enact domestic laws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punish them—Canada, for example, has a stat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ute on crimes against humanity,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many states have anti-genocide statutes.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raq executed Saddam Hussein for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 against humanity under Iraq’s own crimina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l code. Furthermore, as we have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seen, proponents of UCJ believe that the great crimes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can be tried by any state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gains custody of the perpetrator. I shall usually refer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to them as ‘pure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crimes’—pure, in that their criminal character ori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ginated in international rather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domestic law, and international rather th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 domestic legal institutions. </w:t>
      </w:r>
      <w:r w:rsidRP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p.573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These three bodies of ICL overlap, and not only because treaty-based international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 and pure international crimes can be p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rosecuted within domestic legal systems.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also overlap because, as pure intern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ational criminal law developed,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it has added some treaty-based crimes to its list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 offences. Notwithstanding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overlap among these three bodies of ICL, the rem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ainder of this paper focuses 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pure international crimes, because these raise dis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tinctive problems and, now that the ICC is up and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running,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especially compellin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B369E5" w:rsidP="00B369E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II. THE ROOTS OF PURE ICL</w:t>
      </w:r>
    </w:p>
    <w:p w:rsidR="00B369E5" w:rsidRDefault="00B369E5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Although there were intimations of ICL prior to World War II, ICL in its modern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form originated at Nuremberg, and was fortified by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the United Nations’ resolution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recognizing genocide as a crime. The Nuremberg C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harter defined three categories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crimes: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crimes against peace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(the planning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 launching of aggressive war),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war crimes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crimes against humanity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(gross v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iolence and persecution against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civilian populations, including within one’s own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state). The Nuremberg framers,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chief US prosecutor Robert Jackson, focused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principally on the crime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aggressive war, which, self-evidently, can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 launched only by a group. Furthermore,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at Nuremberg the definitions of crimes against pe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ace and crimes against humanity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both emphasized the organized, group-based nature of their perpetration.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emphasis on group perpetrato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rs persists to the present day. Under the Rome Statute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the ICC, war crimes must either be widespread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or else the result of a plan 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policy; and crimes against humanity require a ‘widespread or systematic att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ack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a civilian population’, where ‘attack ag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ainst a civilian population’ is defined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as an attack resulting from or furthering a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state or organizational policy.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crime of genocide has a different emphasis. To be sure, genocide appears 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Nuremberg law as the crime against humanity of ex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termination; but in current law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two crimes are defined differently, and therein ha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ngs a tale. The word ‘genocide’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was coined by the remarkable Polish-Jewish law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yer Raphael Lemkin, in his 1944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book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Axis Rule in Europe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. Lemkin’s word did not c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atch on immediately. It appears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 earliest draft of the Nuremberg Charter, bu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 disappears (I don’t know why)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from subsequent drafts. After the war, Lemkin launc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hed a tireless one-man lobbying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campaign to recognize the uniqueness of the crime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 genocide. It was all the more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remarkable because Lemkin was a refugee with 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 family, no job, no money,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 connections—the ‘totally unofficial man’,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the words of an admiring 1957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newspaper editorial.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Miraculously, his campaign su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cceeded a few years later, when the United Nations opened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Convention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the Prevention and Punishment </w:t>
      </w:r>
      <w:r w:rsidRP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p.574</w:t>
      </w:r>
      <w:r w:rsid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Crime of Genocide for state adoption. (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After the vote, reporters found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exhausted Lemkin alone in a side room, weeping.) Parting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company with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framers of the Nuremberg Charter, Lemkin focuse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d not on the group character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perpetrators but the group character of the victi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ms. Lemkin believed that groups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 such possess value over and above the value of all the individuals in them.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qualify as genocide, an attack must be directed again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st national, ethnic, religious,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racial groups ‘as such’, and intended to destroy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the group in whole or in part.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curious result of Jackson’s and Lemkin’s emphasis on group perpetrator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group victims was that at its origin, modern ICL 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ad little to do with individual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human rights. Jackson was principally interested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criminalizing aggressive war;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 against humanity focus on ‘civilian populatio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ns’, not individual rights;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Lemkin cared about national minorities as groups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, rather than as collections of individuals.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Only after the human rights revolution tha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 began with the 1948 Universal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Declaration of Human Rights have we come to thin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k of ICL as the use of criminal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 to enforce basic human rights. This is a retros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pective reinterpretation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original impetus for ICL, and both Jackson and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Lemkin would have thought it a misinterpretation.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Misinterpretation or not, howe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ver, it has become the dominant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conception of ICL, and today we take it for gr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anted that ICL aims to mobilize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institutions against gross human righ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ts violations, just as domestic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inal law mobilizes governmental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institutions agai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nst domestic rights violations.</w:t>
      </w: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B369E5" w:rsidRDefault="00B369E5" w:rsidP="00B369E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 THE AIMS OF INTERNATIONAL CRIMINAL</w:t>
      </w:r>
    </w:p>
    <w:p w:rsidR="00B369E5" w:rsidRDefault="00B369E5" w:rsidP="00B369E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TRIALS</w:t>
      </w:r>
    </w:p>
    <w:p w:rsidR="00B369E5" w:rsidRDefault="00B369E5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From its inception at Nuremberg, there has alwa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ys been something extraordinary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about pure ICL and the tribunals that adjudicate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t. Dealing as it does with acts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extraordinary violence, systematically perpetrated,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and typically on a large scale,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ICL comes into play only in times of cataclys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m: wars and civil wars, bloody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ethnic or religious struggles, political upheavals,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revolutions or other changes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basic political systems. Instead of being normal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parts of the daily functioning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government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, international criminal trials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occur after governments have fallen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been radically altered.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trials then form part of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transitional justice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—the legal regimes that arise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when one form of government replaces anothe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B369E5"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ordinary criminal law </w:t>
      </w:r>
      <w:r w:rsidRP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p.575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a product of continuity, pure ICL is a product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of discontinuity, of upheaval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political rupture. Inevitably, then, the trials 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ake on political overtones;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sometimes the requirements of politics and those of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criminal justice are in tension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with each other. Politics is broad, partial, and forward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-looking; criminal justice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suppo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sed to be narrow and impartial.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foundational question about criminal law is 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hat justifies punishment, which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is, after all, a form of state violence. Standard justi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fications (retribution, general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special deterrence, incapacitation, rehabilitation) 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ll raise familiar and difficult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justificatory problems, which are no less acute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ICL than they are in domestic legal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systems. To be sure, they may take on diffe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rent configurations in ICL than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those familiar from domestic criminal justice. For 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xample, special deterrence will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seldom be necessary, because the defendant in the do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ck of an international tribunal is unlikely ever again to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 circumstances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which he committed his crime.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related reasons, there is scant need to incapacitate or rehabilitate many low-level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perpetrators, who (under the familiar dynamics of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the ‘banality of evil’) may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ordinary, law-abiding citizens, good men and goo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B369E5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="00B369E5">
        <w:rPr>
          <w:rFonts w:ascii="Times New Roman" w:hAnsi="Times New Roman" w:cs="Times New Roman"/>
          <w:sz w:val="24"/>
          <w:szCs w:val="24"/>
          <w:lang w:val="en-US"/>
        </w:rPr>
        <w:t>, in peacetime.</w:t>
      </w:r>
      <w:r w:rsidR="00B369E5"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other hand, incapacitating toxic political le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aders—a Goering, a Milosevic,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Charles Ta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ylor—can be absolutely crucial.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But, in addition to the familiar qu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artet of retribution-deterrence-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incapacitation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-rehabilitation,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recognizes other purposes, and the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se raise problems of their own.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curious feature about ICL is that in it the emph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asis shifts from punishments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trials. Thus, it is often said that the goal of ICL lies in p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romoting social reconciliation,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giving victims a voice, or making a historical record of mass atrocities to help se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cure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past against deniers and revisionists. The 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egitimacy of these goals can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questioned, because they seem extrinsic to purely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legal values. But what is often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overlooked is that, legitimate or not, they are go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als of trials, not punishments.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Indeed, the punishment of the guilty seems almost an afterthought (not to them, of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course). Perhaps that is because, as one often says, no punishment can fit crimes of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such enormity; or because compared with their trial, their punishment lacks didactic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dramatic force. Whatever th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 reason, it is remarkable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gravity so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often lies in the proceedings rather 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han in their aftermath. That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an objection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the trials, if they are conducted fairly. But th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 use of the trial as political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puts pressure on its fairness; furthermore, internation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al trials have at best a spotty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track-record of promoting social reconciliation, giv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ing victims a voice, and making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record.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Under some circumstances, truth and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reconciliation commissions may </w:t>
      </w:r>
      <w:r w:rsidRPr="00F84508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p.576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 better job, without the need for punishment; if so,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the question of what justifies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punishments in international criminal trial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s becomes even more compelling.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view, the most promising justification for intern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ational tribunals is their role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 projection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: trials are expressive acts broadcastin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g the news that mass atrocities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are, in fact, heinous crimes and not merely pol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itics by other means. In recent years,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philosophers have studied expressive theories of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punishment; the norm projection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rationale adds an expressive theory of tr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ials.</w:t>
      </w:r>
      <w:r w:rsidR="00F84508"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9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As the Allies recognized at Nuremberg,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alternatives to trying murdero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us generals and politicians are summary punishment 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impunity, each of which,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in its own way, is a backhanded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admission that </w:t>
      </w:r>
      <w:r w:rsidR="00F845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raison d’état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Kriegsraison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a legi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timate part of public morality.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Only trials can communicate the inherent criminality of political violence against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innocent. The decision not to stage criminal trials is no less an expressive act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the creation of tribunals; and the expressive contents associated with impunity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summary punishment are unacceptable: both are assertions that political crime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lies outside the law. The point of trials backed by punishment is to assert the realm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law against the claims of politics.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Although the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gravity in international 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ribunals lies in the trial, not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punishment, punishment following conviction 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emains an essential part of any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process that aims to project a no-impunity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norm. Truth and reconciliation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commissions have important virtues, but the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y have a hard time escaping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unwelcome expressive contents that go with impun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ity: these crimes, they seem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say, are not for the law to handle. Sometimes, no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doubt, the short-term need for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political reconciliation in a war-shattered societ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y will outweigh the longer-term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importance of asserting the realm of law. But 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ll forms of impunity, including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politically indispensable impunity, carry the cost 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f perpetuating a world in which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political violence is presumed to tra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nscend law.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traditional aims of punishment, norm pr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ojection most closely resembles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retribution, at least when retribution is understoo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d, as Jean Hampton proposes, as </w:t>
      </w:r>
      <w:r w:rsidRPr="00F84508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p.577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expressive defeat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reasserts moral truth against the wrongdoer’s deval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uation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victim.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But ICL uses the ceremonial of the tr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ial, rather than the infliction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punishment, as its primary vehicle for expres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sing moral truth; and the moral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truth it expresses is not the moral equality of per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petrator and victim, as Hampton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suggests is the aim of retributive punishment. 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ather, ICL’s moral truth is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criminality of political violence against the innocent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, even when your side hates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innocent as an enemy. Carl Schmitt famously defined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‘the concept of the political’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 the friend/enemy relation, with the strong impl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ication that political violence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the enemy defines the human condition and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lies beyond good and evil.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moral truth that international tribunals express is, qui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te simply, the negation of 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familiar political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amoralism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. International criminal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law stands for the proposition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crime is cr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ime regardless of its political trappings.</w:t>
      </w:r>
    </w:p>
    <w:p w:rsidR="00F84508" w:rsidRDefault="00F84508" w:rsidP="00F8450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4508" w:rsidRDefault="00F84508" w:rsidP="00F8450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F84508" w:rsidRDefault="00F84508" w:rsidP="00F8450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IV. NATIONAL SOVEREIGNTY</w:t>
      </w:r>
    </w:p>
    <w:p w:rsidR="004A7231" w:rsidRPr="004A7231" w:rsidRDefault="00F84508" w:rsidP="00F8450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THE LEGITIMACY OF INTERNATIONAL</w:t>
      </w:r>
    </w:p>
    <w:p w:rsidR="004A7231" w:rsidRPr="004A7231" w:rsidRDefault="00F84508" w:rsidP="00F8450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TRIBUNALS</w:t>
      </w:r>
    </w:p>
    <w:p w:rsidR="004A7231" w:rsidRPr="004A7231" w:rsidRDefault="00F84508" w:rsidP="004A7231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F84508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major obstacle to establishing ICL lies in the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international character of its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tribunals, which subjects acts of sovereign sta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tes to criminal scrutiny by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‘international community’, something of a gaseous 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nvertebrate under the classical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Westphalian th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eory of equal sovereign states.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As I suggested in the preceding section, characterizing sovereign acts as crimes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is a momentous, even utopian, decision. As Paul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Kahn has argued, in the Western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political imagination, states are gods, and this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is no less true of contemporary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secular states.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gods, states do not admi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 their own mortality, and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demand devotion and obedience. Every state, libera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l constitutional states no less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absolute monarchies, claims the ultimate autho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rity over its citizens: to make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 die and kill on the sovereign’s behalf. That a sta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te has no military draft at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moment is irrelevant: all states claim the authority to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conscript, and all states cloak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profoundly illiberal project of sacrificing live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s for the supposed salvation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others in the language of religion. The American sol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dier killed in the line of duty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 Iraq has made ‘the ultimate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sacrifice’ for his countr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y, politicians’ language nearly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identical to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Islamists’ talk of ‘martyrdom’.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Viewed from outside a religion, human sacrific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 looks like murder or suicide.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Viewed from within, it is a non-criminal and in fact supre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mely meaningful form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violence. Kierkegaard described Abraham’s sacrif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ice of Isaac as a ‘teleological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p.578</w:t>
      </w:r>
      <w:r w:rsid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suspension of the ethical’, meaning not that it was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justified killing but that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language of justification simply does not apply to it. The ki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nds of mass violence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addresses take place within what participants 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egard as struggles to the death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between groups, in which killing and humiliating the enemy likewise seems like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supremely meaningful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form of violence. When ICL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redescribes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it as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crime—mere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crime, nothing more—the effect is not much different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redescribing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the sacrifice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Isaac as an attempted murder. In one sense, the des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cription is straightforward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uncontroversial. But it is only straightforward once we stand outside the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religion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state, race, ethnicity, and nation, and dismiss them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as gods that failed. Within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rel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igion, crime-talk is blasphemy.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For that reason, establishing a pure internat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ional criminal law of universal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application is a momentous and radical project, equ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ivalent in its way to the early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secularists’ deflationary view of state authority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 manifestation of human rather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divine will. We are not there yet. Not even the so-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called ‘likeminded’ states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promote the ICL project are heretical enough to reje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ct the religion of sovereignty. 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states to call other states ‘gods that failed’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Damoclean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sword, for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themselves are nothing more than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gods that have not yet failed.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 legal terms, the gulf between the transcendent claims of sovereignty and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its deflation in ICL raises the jurisdictional quest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 of what right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tribunals have to try nationals of states that do not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wish them to be tried. For each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principal tribunals, the jurisdictional quest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 received an answer that was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only partly satisfactory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on classical Westphalian terms:</w:t>
      </w:r>
    </w:p>
    <w:p w:rsidR="00792734" w:rsidRDefault="00792734" w:rsidP="0079273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(1) At Nuremberg, the four major powers condu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cted the trial, but none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traditional principles of transnational criminal juris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diction except universality can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explain why Great Britain (for example) could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try Germans for the persecution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Jews in Germany or the murder of Gypsies 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n Poland. Allied lawyers argued that Germany’s unconditional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surrender and the 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ollapse of the Nazi regime made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 Germany’s new government, but under pre-existing trea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ty law an occupying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power must maintain the laws of the occupied coun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try—a constraint that obviously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reflects classical ideas about the sacredness of state sovereignty.</w:t>
      </w:r>
      <w:r w:rsidRPr="007927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The Nuremberg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Tribunal, criminalizing conduct even if it was legal under Nazi law, vi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olated 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sovereignty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-based principle of treaty law.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(2) The United Nations Security Council (UNSC) 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tablished both the Yugoslav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Rwanda tribunals under its peacekeeping powers, bu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 the Security Council’s powers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themselves limited by states jealous of their sov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ereignty. The UNSC can act only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‘maintain or restore international peace and se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curity’ (the condition given in article 39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UN Charter); and the argument that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post-conflict trials would help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p.579</w:t>
      </w:r>
      <w:r w:rsid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maintain or restore international peace and security was speculative and perhaps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even far-fetched. The more hostile critics thought—not without reason—that the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true aim of the tribunals was to deflect attention from the politically embarrassing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fact that neither the Security Council nor any of the major powers did much to stop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atrocities while they were happening.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(3) The ICC operates on a theory of delegated juris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diction—that is, states parties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transfer to the ICC their own territorial and nat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ionality jurisdiction over 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crimes. But it is far from obviou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 that criminal jurisdiction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something a state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legitimately delegate to whomever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it chooses. If it can delegate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jurisdiction to the ICC, then why not to 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he Kansas City dog-catcher,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World Chess Federati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on, or the Rolling Stones?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Even with the added premise that sovereignty nev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er includes the right to commit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great crimes, we need an additional step to reach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the proposition that outsiders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can try and punish them. As we saw in the earlier discussion of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UCJ, that step will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require us to recognize a kind of universal moral interest in condemning the great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crimes. This moral interest has precious little ins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titutional embodiment, however.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Obviously, there is no political community called ‘humanity’ that auth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orizes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ribunals; nor are they products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an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ything like a world government.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792734" w:rsidP="0079273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V. LEGITIMACY THROUGH FAIRNESS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My own view is that the legitimacy of internation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al tribunals comes not from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shaky political authority that creates them, but from 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he manifested fairness of their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procedures and punishments. Tribunals bootstra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 themselves into legitimacy by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quality of justice they deliver; their rightness de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pends on their fairness. During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first Nuremberg trials, prosecutors fretted that ac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quittals would delegitimize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tribunal; in hindsight, it quickly became apparent tha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 the three acquittals were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best thing that could have happened, because th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ey proved that Nuremberg was no show trial.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 the same way, it is essential that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the ICTY, ICTR, and ICC deliver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champagne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due process and fair, humane punishment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s—which, in most respects,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do.</w:t>
      </w:r>
      <w:r w:rsidRPr="007927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Lacking world government to authorize intern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ational tribunals like the ICC,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their authority must be largely self-generated by stric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 adherence to natural justice.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Only in that way can they project a normative vis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 that might compete with the Westphalian orthodoxy.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p.580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term ‘natural justice’ is perhaps a misnome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r, because the basic procedural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rights recognized world-wide today are products of 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enturies of tinkering, not 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reason alone. As embodied in international treati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es, they include the right to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speedy, public trial before an impartial tribunal that b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ases its decision solely on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evidence, under rules designed to reach accurate verdicts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; the right to offer a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right to be informed of the charges, in a languag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 that the accused understands,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through a written indictment that specifies the charg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es and the conduct charged;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right of the accused to confront the witnesses against 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im; the right of the accused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have compulsory process for obtaining witnesses in 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; the right to counsel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the privilege against self-incrimination; and the ban on double jeopardy (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bis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in idem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Natural justice also includes the right to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ppeal; and it includes familiar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duties of prosecutors: to pursue cases only when there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is probable cause, to disclose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exculpatory evidence to the accused, and more ge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nerally, to seek justice rather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victory. Finally, it includes humane condition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s of confinement and reasonable punishments.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One important fact about these requirements 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 that only tribunals that have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 kind of internationally recognized state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authorization—paradigmatically,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authorization by a multilateral group such as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the UN—are likely to be able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satisfy them. Evidence must be gathered from 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oreign war zones by trustworthy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impartial investigators, evidentiary chains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of custody must be maintained,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counsel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judges recruited and pai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d,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witnesses subpoenaed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across borders, appellate panels created and staffed, rules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written, safe, humane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prisons found, and long-term confinements monito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red. Realistically, only states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can carry out these tasks. Thus, even though I believe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the legitimacy of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 arises from their fairness rather than their political pe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digree (their state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authorization), in actual fact state authorization wil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 be contingently indispensable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achieve procedural fairness. That, ultimately,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is why it will not do to grant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jurisdiction to the Rolling Stones or the World Chess Federa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tion. Once we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look carefully at what it actually takes to achieve 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air procedures and punishments,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natural-justice account turns out not to be vulnerab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le to imaginary counterexamples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which vigilantes abduct defendants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, try them ‘fairly’, and punish them. No such vigilantes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could hope to meet the stringent requirements of natural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justice.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Not every civilized legal system satisfies all the 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equirements of natural justice.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(In my view, the United States, with its savagely harsh prison sentences and brut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super-maximum security units, violates the last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two conditions.) It may not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essential that international tribunals be tops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long every dimension of natural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justice; but, because tribunals must earn their legiti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macy rather than inheriting it,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cannot be 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ar from the top on any of them.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p.581</w:t>
      </w:r>
    </w:p>
    <w:p w:rsidR="00792734" w:rsidRDefault="00792734" w:rsidP="00792734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92734" w:rsidRDefault="00792734" w:rsidP="00792734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92734" w:rsidRDefault="00792734" w:rsidP="0079273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VI. THE PRINCIPLE OF LEGALITY</w:t>
      </w:r>
    </w:p>
    <w:p w:rsidR="00792734" w:rsidRDefault="00792734" w:rsidP="00792734">
      <w:pPr>
        <w:pStyle w:val="SemEspaamen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 criminal law, the most fundamental requir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ement of natural justice is the Principle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Legality. Traditionally, the principle received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expression in the Roman maxims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nullum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crimen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sine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lege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(no crime without law) and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nulla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poena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sine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lege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(no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punishment without law). The first means that 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onduct may be criminalized only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if publicly-accessible law spells out all the elements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of the crime; the second means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the law must, in addition, sentence only according to a legally-specified 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cheme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punishments. Combining these, the Principle o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f Legality asserts that conduct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may be criminalized and punished only if the crimes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and punishments are explicitly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established by publicly-accessible law. The Princ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iple seems close to the core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rule of law, in two distinct ways: first, b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y tying crime and punishment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 rather than the ruler’s arbitrary will; and sec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ond, by insisting that law must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be publicly accessible, therefore integrated into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the daily life of the people it governs.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Principle of Legality generates corollaries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, as important as the principle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itself: the prohibition on vaguely-defined crimes,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requirements of fair notice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non-retroactivity, and the principle of lenity, which ass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erts that if a criminal statute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is ambiguous, the version most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favourable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to the de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fendant is the correct version.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Each of these helps ensure that people are not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punished for conduct that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had no definitive way to know had been crimina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lized. In the remainder of 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paper, I examine, and attempt to resolve, some si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gnificant tensions between 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criminal law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and the Principle of Legality.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most obvious such tension, which figur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ed prominently at Nuremberg,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simply that the tribunal applied novel law retroactively. Although war cri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mes are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 traditional category of criminal law, crimes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gainst peace and crimes against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humanity were novel. The problem of retroactivity dogged 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 hoc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tribunals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 well, because they were established after the cr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imes. True, their statutes were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modelled on pre-existing ICL, so the substantive crim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inal law was not retroactive.</w:t>
      </w:r>
      <w:r w:rsidR="00792734" w:rsidRPr="007927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But the ICTY broke legal ground on important issues, most dramatically in its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holding that the war crimes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law governing international armed conflict applied in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Bosnian civil war as well.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</w:t>
      </w:r>
      <w:r w:rsid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B03F6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p.582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Larry May, in his book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Crimes Against Humanity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, argues that the Principle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Legality requires defendants to receive fair notic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of all elements of the crime,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including the jurisdictional element. In May’s words, ‘defendants should hav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been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able to see, at the time they acted, that what the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y were doing was a violation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law’. The ICTY violates the fair notice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principle because the tribunal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post-dated the crimes. May objects to the ‘p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light’—his word—‘of some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Bosnian Serb ‘‘small fry’’ now in jail at The Hague w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ho had no hint that their acts,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as unspeakable as they may be, were even remotely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likely to land them in jail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awaiting trial before an international tribunal’.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Finally, as Allison Danner and Jenny Martine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z have argued, the contemporary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connection between ICL and international huma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n rights law creates a standing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tension between ICL and the Principle of Legality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3F6"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19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Human rights law adopts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standpoint of protecting victims, and therefore requires laws to be read broadly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cases of ambiguity.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But criminal law adopts the standpoint of protecting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defendants, and the principle of lenity requires ambiguous statutes to be read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narrowly.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To illustrate the conflict: common article 3 of the Geneva Conventions of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fers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list of basic human rights that must be guaranteed to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all captives in armed conflicts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of an international character, for example pr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otection against ‘outrages upon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personal dignity’, including humiliating or degrading treatment. In so far as arti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cle 3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a human rights instrument, the vague notion of ‘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outrages upon personal dignity’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must be read expansively. But in so far as article 3 is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also a criminal prohibition—as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it was, for example, in US law, where until 2006 all violations of article 3 wer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war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crimes—it must be read as narrowly as possible.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The Principle of Legality gave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 pretext to US President George W. Bush to pre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ssure Congress to retroactively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decriminalize humiliation tactics after the Suprem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Court declared that article 3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applies to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Al Qaeda captives.</w:t>
      </w:r>
      <w:r w:rsidR="001B03F6"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21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result seems deeply embarrassing for ICL. If 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hese examples truly demonstrate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international tribunals violate the Principle of Legal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ity, and the Principle is truly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central to natural justice, and—finally—natural justice is ne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cessary to bootstrap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into legitimacy, the result seems to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be that ICL has no legitimacy.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 response, I will argue that the Principle of Lega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lity has less importance in ICL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in domestic criminal law systems, and therefore that legality-based object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ions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the ICL enterprise are not fatal. Even if the Princip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le of Legality lies at the core </w:t>
      </w:r>
      <w:r w:rsidRPr="001B03F6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p.583</w:t>
      </w:r>
      <w:r w:rsidR="001B03F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domestic rule of law, its role in ICL is far more peripheral. To see why, we must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begin by asking a fundamental question: what justifies the Principle of Legality?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There are two main arguments for the Principle,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one based in the action-guiding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character of law and the other in the need to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curb abuses of state power.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first is that to punish people without fair notice of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the elements of crimes and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scheme of punishments violates their reasonable ex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pectations that their behavior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legally innocent. This familiar argument is inh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erent in the notion that law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meant to be action-guiding. Inadequately specified l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aw cannot guide actions, and it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unfair to punish failures to be guided by laws inca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pable of guiding. The second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that, historically, rulers have used vague, discretiona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ry, underspecified criminal law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target and repress opponents—perhaps the m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ost notorious example being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provision of the Nazi criminal code prohibiting any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conduct that affronts ‘healthy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folk-sentiment’.</w:t>
      </w:r>
      <w:r w:rsidRPr="00C652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Call these the </w:t>
      </w:r>
      <w:r w:rsidR="001B03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fair notice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argument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government abuse argument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respectively.</w:t>
      </w:r>
    </w:p>
    <w:p w:rsidR="001B03F6" w:rsidRDefault="001B03F6" w:rsidP="001B03F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3F6" w:rsidRDefault="001B03F6" w:rsidP="001B03F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3F6" w:rsidRDefault="001B03F6" w:rsidP="001B03F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VII. THE GOVERNMENT ABUSE ARGUMENT</w:t>
      </w:r>
    </w:p>
    <w:p w:rsidR="001B03F6" w:rsidRDefault="001B03F6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03F6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 begin with the government abuse argument, wh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ich insists on the Principle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Legality as a safeguard against arbitrary punishmen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t by governments under cover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vague, underspecified law. The response in the case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of pure ICL is straightforward: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there is simply much less danger of government abus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in ICL than in domestic legal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systems, because ICL arises from weak, decentralized i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nstitutions rather than strong,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concentrated ones. Sceptics point to the free-floating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, cosmopolitan character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 in order to attack their legitimacy. But exa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ctly the same facts demonstrate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that the worry about abuses of the legal process by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holders of state power is not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powerful one. The Principle of Legality still matter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s in tribunal prosecutions, but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as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a safeguard against despotism.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Arguably, the government abuse argument has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more force applied to domestic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prosecutions of international crimes under universal ju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risdiction. Even here, however,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danger seems slight. UCJ prosecutions depen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d on the infrequent, difficult,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almost random processes of gaining custody over p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erpetrators, and it is unlikely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that significant </w:t>
      </w:r>
      <w:r w:rsidRPr="00C65237">
        <w:rPr>
          <w:rFonts w:ascii="Times New Roman" w:hAnsi="Times New Roman" w:cs="Times New Roman"/>
          <w:sz w:val="24"/>
          <w:szCs w:val="24"/>
          <w:lang w:val="en-US"/>
        </w:rPr>
        <w:t>state interests can be advanced by abusively prosecuting nationals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other states for pure international crimes. It is possible, of course. For that reason,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legitimacy of UCJ prosecutions will depend on common-sense safeguards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abuse: procedural fairness, of course, but also prosecutorial independence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from the political branches of the government, and absence of prior political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p.584</w:t>
      </w:r>
      <w:r w:rsid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strife between the state conducting the trials and the defendants. Without these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safeguards, the Principle of Legality will indeed kick in as an essential protection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government abuse. But, when a state with no political axe to grind against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defendant and whose jurists aren’t under the thumb of politicians prosecutes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great crimes under a UCJ statute, the Principle of Legality loses its central place in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pantheon of legal values.</w:t>
      </w:r>
    </w:p>
    <w:p w:rsidR="00C65237" w:rsidRDefault="00C65237" w:rsidP="00C6523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5237" w:rsidRDefault="00C65237" w:rsidP="00C6523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4A7231" w:rsidRDefault="00C65237" w:rsidP="00C6523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VIII. THE FAIR NOTICE ARGUMENT</w:t>
      </w:r>
    </w:p>
    <w:p w:rsidR="004A7231" w:rsidRPr="004A7231" w:rsidRDefault="00C65237" w:rsidP="004A7231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C65237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Even if the lack of world government weakens the government-abuse rationale for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Principle of Legality, the fair-notice rationale remains central to the idea that law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exists to guide human action. Isn’t it a mere travesty to try people under retroactive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law, before tribunals that didn’t exist when they committed their crimes, or under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vague legal standards that expand to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disfavour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the defendants?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My basic response to the fair-notice argument is that when the deed is morally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outrageous—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malumin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 as criminal lawyers say—then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reasonable expectations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defendants are violated when they are tried for it. The Nazi leadership, with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the blood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50 million people on their hands, fully expected summary execution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if they were defeated. Their own ideology rejected the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Rechtsstaat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(and with it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Principle of Legality) in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the law of tooth and claw. If anything,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Nuremberg trial treated them better, not worse, than they had reason to expect. That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why Jackson described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Nuremberg defendants as ‘hard pressed but . . . not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’, because they are ‘given a chance to plead for their lives in the name of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law. Realistically, the charter of this tribunal, which gives them a hearing, is also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source of their only hope’.</w:t>
      </w:r>
      <w:r w:rsidRPr="00C652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Though there is no getting around the fact that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Nuremberg Tribunal applied law retroactively, it did not treat the defendants worse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they had reason to expect, which is the moral basis for the ban on retroactivity.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Thus, even if pure international criminal law was born in sin at Nuremberg,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sin was a venial one. What mattered was that the defendants got a fair trial; that,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plus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the fact that the law of the Nuremberg Charter criminalized only actions that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are morally outrageous, confers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 legitimacy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on the trial that outweighs its formal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violation of the Principle of Legality.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By the time of the Balkan Wars, the Nuremberg principles and the Geneva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Conventions had been part of international law for forty years. Were Yugoslav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soldiers and militiamen ‘on notice’ of this law? To answer this question, it is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important to recognize that fair notice in criminal law always involves the legal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p.585</w:t>
      </w:r>
      <w:r w:rsid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fiction that publishing the law in some officially sanctioned manner places people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 notice of it. This is a fiction, of course, because most people most of the time have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 idea when or where to look for changes in the criminal law. Fair notice, in other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words, inevitably means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constructive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notice, even in domestic legal systems. In this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constructive sense, the Yugoslav perpetrators were on notice that Nuremberg law,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Geneva and Hague law, and the Genocide Convention applied to them. Ignorance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law is no excuse.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Sometimes, however, ignorance of the law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 excuse. In domestic legal systems,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when law imposes unusual, surprising, or counterintuitive requirements, fairness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demands that accused persons actually (not just constructively) know that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law prohibits their conduct. Thus, for purely regulatory,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mala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prohibita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, offences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prosecutors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will have to prove not only that the accused knew what he was doing, but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also that he knew that what he was doing was illegal. For such offences, knowledge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the legal as well as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element of the offence is required for guilt, on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pain of violating the requirement of fair notice.</w:t>
      </w:r>
      <w:r w:rsidRPr="008F6D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May seems to have some argument like this in mind when he argues that it is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unfair to ‘Bosnian small fry’ to try them before an international tribunal unless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knew at the time of their crime that it fell within the jurisdiction of pure ICL.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However, the argument fails, because the war crimes and crimes against humanity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charged against prison guards who tortured and raped camp inmates are hardly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kind of regulatory,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mala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prohibita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defences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that demand actual, rather than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constructive, notice of their legal prohibition. The more egregiously awful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conduct is intrinsically, the more it signals its own probable legal prohibition, and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less reasonable the defendant’s expectation of innocence or impunity—doubly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so because murder, rape, torture, and beatings are central domestic-law crimes in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every legal system in the world. The Bosnian guards who gang-raped and tortured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their captives may have expected to get away with it—but that is different from a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reasonable expectation of impunity.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 want to turn, finally, to the worry raised by Danner and Martinez that the human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rights rationale behind ICL runs afoul of the principle of lenity, and therefore of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Principle of Legality. This, it seems to me, is a deeper and more significant worry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concerns about retroactivity, because it concerns a fundamental clash between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world-views of human rights and criminal law. Here too, however, I shall argue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the Principle of Legality represents the less important principle.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Recall that the principle of lenity says that if a criminal statute is ambiguous,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it must be read in the way most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favourable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to the accused. Why is that?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reason, according to the fair notice argument, is that the defendant needs to be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told unambiguously whether his conduct is criminal under the statute. </w:t>
      </w:r>
      <w:r w:rsidRPr="000B18AB">
        <w:rPr>
          <w:rFonts w:ascii="Times New Roman" w:hAnsi="Times New Roman" w:cs="Times New Roman"/>
          <w:sz w:val="24"/>
          <w:szCs w:val="24"/>
          <w:lang w:val="en-US"/>
        </w:rPr>
        <w:t>Let’s use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DD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p.586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term ‘grey zone’ to describe the zone of ambiguity in the statute—the conduct that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forbidden under one reading but not under the other. Then it appears that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accused doesn’t have adequate notice about whether grey-zone conduct is permitted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forbidden.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It follows that the only way he can be certain his conduct is legal is to steer clear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grey zone. Even if grey-zone conduct is legal, he engages in it at his peril.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seems to violate one of the basic tenets of liberal legality, namely that the law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permits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anything that it doesn’t expressly forbid.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25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are entitled to walk to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very boundary of the law, so long as we don’t step over it.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Yet this doctrine carries undeniable costs. It encourages envelope-pushing,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loopholing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, and pettifoggery. Perhaps that is an acceptable cost when the issue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tax ‘evasion’; and perhaps it is downright desirable when the issue is political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speech that angers the government. But when the legal issue concerns basic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human rights and their violation, envelope-pushing is the last thing we should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want. The outrageous memos written by US government lawyers to loophole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 against torture offer a vivid illustration of what happens when ruthless men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women, bent on evading human rights protections, probe and twist the law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ambiguities.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26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In cases like these, it should count as a plus, not a minus, if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ambiguity or vagueness in the law discourages actors from the grey zone.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human rights law mode of reading pure ICL statutes—filling gaps and resolving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ambiguities in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victims of human rights violations—simply has far more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recommend it than the principle of lenity. These statutes, after all, deal with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great crimes, and the grey zone at their margins is bad enough that we should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welcome any inhibition the criminal law creates on people choosing to inhabit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them.</w:t>
      </w:r>
    </w:p>
    <w:p w:rsidR="0011058D" w:rsidRDefault="004A7231" w:rsidP="001105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There is one important exception to this conclusion, and that is the case of certain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war crimes. Under the ICC’s statute, it is a war crime to take actions that cause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disproportionate civilian deaths or environmental damage (article 8 (2) (b) (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)).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But no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formula exists for calculating proportionality. Soldiers in combat always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try to inflict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maximum lawful amount of force when they have to—that is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DD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p.587</w:t>
      </w:r>
      <w:r w:rsidR="008F6DD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both how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safeguard themselves and how they accomplish their missions. To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tell them that not only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must they obey the law of war, they must also steer clear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of the grey zone seems unfair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wildly unrealistic. These are, after all, men and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men fighting for their lives in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conditions close to hell. Other laws of war are also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fuz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zy or contestable: for example,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opinions differ over whether targeted killings of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enemy mi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litants violate the prohibition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 intentionally targeting civilians (article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8 (2) (b) (i)).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In these examples, the special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conditions of war suggest that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principle of lenity shoul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d govern criminal prosecutions,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because it is unreasonable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expect actors not only to abi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de by the law but also to steer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clear of the grey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zone. I hasten to add, however, that this will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not be true of all war crimes.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some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cases, the argument that soldiers should be deterred from the grey zone applies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full force—for example, in the prohibitions on cruel and degrading treatment of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captives.</w:t>
      </w:r>
    </w:p>
    <w:p w:rsidR="0011058D" w:rsidRDefault="0011058D" w:rsidP="001105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58D" w:rsidRDefault="0011058D" w:rsidP="001105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11058D" w:rsidRDefault="0011058D" w:rsidP="0011058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IX. CONCLUSION: LEGITIMACY FROM</w:t>
      </w:r>
    </w:p>
    <w:p w:rsidR="004A7231" w:rsidRPr="004A7231" w:rsidRDefault="0011058D" w:rsidP="0011058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BOTTOM UP</w:t>
      </w:r>
    </w:p>
    <w:p w:rsidR="0011058D" w:rsidRDefault="0011058D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58D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institutions of ICL are fragile, weak, and—to be perfectly honest—less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important than the attention they receive warrants. Realistically, the current ICC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may reach very little of the world’s most awful conduct. Nevertheless, opponents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ICC, particularly in the United States, view it in exaggerated, paranoid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terms; supporters, churning out reams of commentary on legal minutiae before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first case has been tried, can fairly be accused of living in a fantasy-world of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their own, where the court has already been fully normalized into a global rule of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</w:p>
    <w:p w:rsidR="004A7231" w:rsidRPr="004A7231" w:rsidRDefault="004A7231" w:rsidP="001105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reason for the attention, the fantasies, and the conspiracy-theories woven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around the ICL enterprise is not hard to see: as I have argued, even if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institutions are weak, their project is a fundamental challenge to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statism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nationalism, which (unlike ICL) are fighting faiths. That the project gets any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backing at all from states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remarkable; it testifies to a world-wide cosmopolitan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yearning coming from below—and not only on the part of liberal elites, as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conservative opponents of ICL invariably believe. It is the yearning to escape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eternal cycle of crimes that the fighting faiths commit in the name of states,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nationalities, and religions. Against the bloodshed of mass political violence,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project has little to offer except the dramatic force of legal trials that attach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58D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p.588</w:t>
      </w:r>
    </w:p>
    <w:p w:rsidR="004A7231" w:rsidRPr="0011058D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labels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like ‘war crimes’, ‘genocide’, and ‘crimes against humanity’. Lacking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authority of world government, these norms build their legitimacy from the bottom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up, by the fairness of their proceedings and the moral power they project.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success of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project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improbable; its failure, if it happens, is the failure of law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58D">
        <w:rPr>
          <w:rFonts w:ascii="Times New Roman" w:hAnsi="Times New Roman" w:cs="Times New Roman"/>
          <w:sz w:val="24"/>
          <w:szCs w:val="24"/>
          <w:lang w:val="en-US"/>
        </w:rPr>
        <w:t>itself.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</w:t>
      </w:r>
      <w:r w:rsid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4A7231" w:rsidRPr="004A7231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7231" w:rsidRPr="004A7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DC8"/>
    <w:multiLevelType w:val="hybridMultilevel"/>
    <w:tmpl w:val="9DA0B374"/>
    <w:lvl w:ilvl="0" w:tplc="D3CE0B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1"/>
    <w:rsid w:val="000B18AB"/>
    <w:rsid w:val="0011058D"/>
    <w:rsid w:val="001B03F6"/>
    <w:rsid w:val="00445F77"/>
    <w:rsid w:val="00450317"/>
    <w:rsid w:val="004A7231"/>
    <w:rsid w:val="00792734"/>
    <w:rsid w:val="008F6DD4"/>
    <w:rsid w:val="00B369E5"/>
    <w:rsid w:val="00C17328"/>
    <w:rsid w:val="00C65237"/>
    <w:rsid w:val="00DC0BD0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72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72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7627</Words>
  <Characters>41192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LOB-SVMFA</cp:lastModifiedBy>
  <cp:revision>2</cp:revision>
  <dcterms:created xsi:type="dcterms:W3CDTF">2016-09-21T14:17:00Z</dcterms:created>
  <dcterms:modified xsi:type="dcterms:W3CDTF">2016-09-21T14:17:00Z</dcterms:modified>
</cp:coreProperties>
</file>