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1133.8582677165355" w:right="-760" w:firstLine="720"/>
        <w:jc w:val="left"/>
        <w:rPr>
          <w:b w:val="1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-323849</wp:posOffset>
            </wp:positionH>
            <wp:positionV relativeFrom="paragraph">
              <wp:posOffset>155707</wp:posOffset>
            </wp:positionV>
            <wp:extent cx="1004888" cy="1063311"/>
            <wp:effectExtent b="0" l="0" r="0" t="0"/>
            <wp:wrapSquare wrapText="bothSides" distB="0" distT="0" distL="0" distR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633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4981575</wp:posOffset>
            </wp:positionH>
            <wp:positionV relativeFrom="paragraph">
              <wp:posOffset>252413</wp:posOffset>
            </wp:positionV>
            <wp:extent cx="1220810" cy="86677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081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ind w:left="-1133.8582677165355" w:right="-760" w:firstLine="720"/>
        <w:jc w:val="center"/>
        <w:rPr>
          <w:b w:val="1"/>
          <w:sz w:val="29"/>
          <w:szCs w:val="29"/>
        </w:rPr>
      </w:pPr>
      <w:r w:rsidDel="00000000" w:rsidR="00000000" w:rsidRPr="00000000">
        <w:rPr>
          <w:b w:val="1"/>
          <w:sz w:val="29"/>
          <w:szCs w:val="29"/>
          <w:rtl w:val="0"/>
        </w:rPr>
        <w:t xml:space="preserve">UNIVERSIDADE DE SÃO PAULO</w:t>
      </w:r>
    </w:p>
    <w:p w:rsidR="00000000" w:rsidDel="00000000" w:rsidP="00000000" w:rsidRDefault="00000000" w:rsidRPr="00000000" w14:paraId="00000003">
      <w:pPr>
        <w:spacing w:line="360" w:lineRule="auto"/>
        <w:ind w:left="-1133.8582677165355" w:right="-760" w:firstLine="720"/>
        <w:jc w:val="center"/>
        <w:rPr>
          <w:b w:val="1"/>
          <w:sz w:val="29"/>
          <w:szCs w:val="29"/>
        </w:rPr>
      </w:pPr>
      <w:r w:rsidDel="00000000" w:rsidR="00000000" w:rsidRPr="00000000">
        <w:rPr>
          <w:b w:val="1"/>
          <w:sz w:val="29"/>
          <w:szCs w:val="29"/>
          <w:rtl w:val="0"/>
        </w:rPr>
        <w:t xml:space="preserve">FACULDADE DE CIÊNCIAS FARMACÊUTICAS  </w:t>
      </w:r>
    </w:p>
    <w:p w:rsidR="00000000" w:rsidDel="00000000" w:rsidP="00000000" w:rsidRDefault="00000000" w:rsidRPr="00000000" w14:paraId="00000004">
      <w:pPr>
        <w:spacing w:line="360" w:lineRule="auto"/>
        <w:ind w:left="-425.19685039370086" w:firstLine="0"/>
        <w:jc w:val="center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-425.19685039370086" w:firstLine="0"/>
        <w:jc w:val="center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-425.19685039370086" w:firstLine="0"/>
        <w:jc w:val="center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425.19685039370086" w:firstLine="0"/>
        <w:jc w:val="center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-425.19685039370086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FBA0436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- Nutrigenômica - Período Noturno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2020)</w:t>
      </w:r>
    </w:p>
    <w:p w:rsidR="00000000" w:rsidDel="00000000" w:rsidP="00000000" w:rsidRDefault="00000000" w:rsidRPr="00000000" w14:paraId="00000009">
      <w:pPr>
        <w:spacing w:line="360" w:lineRule="auto"/>
        <w:ind w:left="-425.19685039370086" w:firstLine="0"/>
        <w:jc w:val="center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425.19685039370086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Relatório Grupo F</w:t>
      </w:r>
    </w:p>
    <w:p w:rsidR="00000000" w:rsidDel="00000000" w:rsidP="00000000" w:rsidRDefault="00000000" w:rsidRPr="00000000" w14:paraId="00000012">
      <w:pPr>
        <w:ind w:left="-425.19685039370086" w:firstLine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425.19685039370086" w:firstLine="720"/>
        <w:jc w:val="center"/>
        <w:rPr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color w:val="343a40"/>
          <w:sz w:val="23"/>
          <w:szCs w:val="23"/>
          <w:highlight w:val="white"/>
          <w:rtl w:val="0"/>
        </w:rPr>
        <w:t xml:space="preserve"> O leite deve estar presente na dieta de adultos?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425.1968503937008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425.1968503937008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Nomes: </w:t>
      </w:r>
    </w:p>
    <w:p w:rsidR="00000000" w:rsidDel="00000000" w:rsidP="00000000" w:rsidRDefault="00000000" w:rsidRPr="00000000" w14:paraId="00000021">
      <w:pPr>
        <w:ind w:left="-425.19685039370086"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Bianca Andrina O. M. Lobão</w:t>
      </w:r>
      <w:r w:rsidDel="00000000" w:rsidR="00000000" w:rsidRPr="00000000">
        <w:rPr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N°USP: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9370841</w:t>
      </w:r>
    </w:p>
    <w:p w:rsidR="00000000" w:rsidDel="00000000" w:rsidP="00000000" w:rsidRDefault="00000000" w:rsidRPr="00000000" w14:paraId="00000022">
      <w:pPr>
        <w:ind w:left="-425.19685039370086"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José Carlos Venancio Lopes dos Reis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N°USP: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9820151</w:t>
      </w:r>
    </w:p>
    <w:p w:rsidR="00000000" w:rsidDel="00000000" w:rsidP="00000000" w:rsidRDefault="00000000" w:rsidRPr="00000000" w14:paraId="00000023">
      <w:pPr>
        <w:ind w:left="-425.19685039370086"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Luana Gasparini Dos Santos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N°USP: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9426220</w:t>
      </w:r>
    </w:p>
    <w:p w:rsidR="00000000" w:rsidDel="00000000" w:rsidP="00000000" w:rsidRDefault="00000000" w:rsidRPr="00000000" w14:paraId="00000024">
      <w:pPr>
        <w:ind w:left="-425.19685039370086" w:firstLine="425.196850393700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Myllena Farisco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N°USP: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9014760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Tainá Novack de Morais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N°USP: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9764489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425.19685039370086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425.19685039370086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48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Introdução</w:t>
      </w:r>
    </w:p>
    <w:p w:rsidR="00000000" w:rsidDel="00000000" w:rsidP="00000000" w:rsidRDefault="00000000" w:rsidRPr="00000000" w14:paraId="0000002A">
      <w:pPr>
        <w:spacing w:after="0" w:before="0" w:line="480" w:lineRule="auto"/>
        <w:ind w:left="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Leite e os produtos lácteos são alimentos que contém uma extensa gama de nutrientes essenciais, são portanto uma excelente fonte de proteínas de alto valor biológico, carboidratos, vitaminas, minerais, lipídios, dentre outros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Hsieh et al, 2015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São parte da dieta humana desde o nascimento até a idade adulta há séculos, mas além do seu valor nutricional o leite e seus derivados são objeto de diversos estudos a fim de determinar seu papel na saúde humana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Marangoni et al, 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2B">
      <w:pPr>
        <w:spacing w:after="0" w:before="0" w:line="480" w:lineRule="auto"/>
        <w:ind w:left="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doenças crônicas têm sido a causa majoritária de morbidade e mortalidade nos últimos 50 anos, principalmente nos países industrializados. Doenças como dislipidemia, doenças cardiovasculares, obesidade, diabetes, síndrome metabólica e hipertensão são vastamente associadas à uma dieta de má qualidade e falta de exercícios físicos, modificações nestes parâmetros são geralmente a estratégia para a prevenção ou tratamento destas enfermidades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Hsieh, 2015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Neste cenário, alimentos saudáveis e funcionais têm sido utilizados para minimizar os riscos de desenvolvimento destas doenças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Khan, 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2C">
      <w:pPr>
        <w:spacing w:after="0" w:before="0" w:line="480" w:lineRule="auto"/>
        <w:ind w:left="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leite é consumido por todos os mamíferos durante o período de amamentação, porém apenas os humanos mantêm o consumo durante a vida adulta, o que levanta algumas questões a respeito da necessidade deste hábito e suas possíveis consequências à saúde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Pereira, 2014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48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48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Composição do Leite</w:t>
      </w:r>
    </w:p>
    <w:p w:rsidR="00000000" w:rsidDel="00000000" w:rsidP="00000000" w:rsidRDefault="00000000" w:rsidRPr="00000000" w14:paraId="0000002F">
      <w:pPr>
        <w:spacing w:after="0" w:before="0"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Produzido pelas glândulas mamárias, o leite corresponde a uma mistura complexa de macro e micronutrientes que desempenham um papel importante durante os primeiros meses de vida dos mamíferos. Os seres humanos, entretanto, tendem a manter o consumo de leite durante a adolescência e fase adulta devido ao seu elevado valor nutricional, o que coloca os humanos como uma exceção no reino animal.</w:t>
      </w:r>
    </w:p>
    <w:p w:rsidR="00000000" w:rsidDel="00000000" w:rsidP="00000000" w:rsidRDefault="00000000" w:rsidRPr="00000000" w14:paraId="00000030">
      <w:pPr>
        <w:spacing w:after="0" w:before="0"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Após os primeiros anos de vida , o principal tipo de leite consumido pelos humanos é o leite de vaca. Dada a importância deste alimento, estudos foram realizados para determinar qualitativamente e quantitativamente a composição química deste leite, a exemplo do estudo realizado por Aidin Foroutan e colaboradores intitulado “Chemical Composition of Commercial Cow’s Milk”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Foroutan et al., 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31">
      <w:pPr>
        <w:spacing w:after="0" w:before="0" w:line="48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 estudo, diferentes amostras de leite foram analisadas e seus dados comparados com a literatura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se confirmar os resultados encontrados. No que se refere aos macronutrientes do leite, este é constituído de água (85 - 87 %), gorduras (3,8 - 5,5 %), proteínas (2,9 - 3,5 %) e carboidratos (5 %). Dentre os micronutrientes, destacam-se vitaminas, minerais, aminas biogênicas, ácidos orgânicos, nucleotídeos, oligossacarídeos e imunoglobulinas.</w:t>
      </w:r>
    </w:p>
    <w:p w:rsidR="00000000" w:rsidDel="00000000" w:rsidP="00000000" w:rsidRDefault="00000000" w:rsidRPr="00000000" w14:paraId="00000032">
      <w:pPr>
        <w:spacing w:after="0" w:before="0" w:line="48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Tabela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seguir são apresentados os principais constituintes químicos do leite encontrados no estudo de Foroutan (Foroutan et al., 2019) , bem como suas concentrações:</w:t>
      </w:r>
    </w:p>
    <w:p w:rsidR="00000000" w:rsidDel="00000000" w:rsidP="00000000" w:rsidRDefault="00000000" w:rsidRPr="00000000" w14:paraId="00000033">
      <w:pPr>
        <w:spacing w:after="0" w:before="0"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Tabela 1: Principais constituintes químicos do leite de vaca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Componente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Concentração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Carboidratos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Lactose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114 - 122 mM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Glicose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0,2 - 0,3 mM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Galactose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 mM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Íons Inorgânicos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Potássio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31 - 43 mM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Cálcio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26 - 32 mM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Fósforo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19 - 23 mM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Ácidos Orgânicos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Ácido Acético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38 - 46 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Ácido Propiônico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1 - 2 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Ácido Isobutírico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24 - 37 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commentRangeStart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Compostos Nitrogenados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312 - 543 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Ureia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1,1 - 1,2 mM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Glutamato (aminoácido)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257 - 297 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Vitaminas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5,8 - 6,3 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20 - 20,3 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8,2 - 39 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Triglicerídeos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2,3 - 8,6 mM</w:t>
            </w:r>
          </w:p>
        </w:tc>
      </w:tr>
    </w:tbl>
    <w:p w:rsidR="00000000" w:rsidDel="00000000" w:rsidP="00000000" w:rsidRDefault="00000000" w:rsidRPr="00000000" w14:paraId="00000061">
      <w:pPr>
        <w:spacing w:after="0" w:before="0"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62">
      <w:pPr>
        <w:spacing w:after="0" w:before="0" w:line="48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48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Importância da Ingestão do Leite para adultos e idosos</w:t>
      </w:r>
    </w:p>
    <w:p w:rsidR="00000000" w:rsidDel="00000000" w:rsidP="00000000" w:rsidRDefault="00000000" w:rsidRPr="00000000" w14:paraId="00000064">
      <w:pPr>
        <w:spacing w:after="0" w:before="0" w:line="480" w:lineRule="auto"/>
        <w:ind w:left="0" w:firstLine="72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Saúde e Bem 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48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Mundialmente, sabe-se que a baixa densidade mineral óssea pode ser considerada um grande fator de risco para fraturas, quedas e internações em pessoas idosas ou jovens que já apresentam esse fator de risco mais cedo. Nesse sentido, a preocupação com a saúde e bem estar da população tem sido o alvo de alguns estudos nesses últimos anos, que demonstram a importância do consumo de leite na vida de adultos e idosos. (Soroko, et. al; Tucker)</w:t>
      </w:r>
    </w:p>
    <w:p w:rsidR="00000000" w:rsidDel="00000000" w:rsidP="00000000" w:rsidRDefault="00000000" w:rsidRPr="00000000" w14:paraId="00000066">
      <w:pPr>
        <w:spacing w:after="0" w:before="0" w:line="48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estudo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Lifetime milk consumption and bone mineral density in older women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ilustrou a relação entre o consumo de leite ao longo da vida e a densidade mineral óssea em 581 mulheres brancas pós menopausa, com faixa etária entre 60 e 79 anos. Nesse cenário, o estudo foi realizado fazendo uma entrevista com as participantes para avaliar o consumo de leite ao longo da adolescência (12 a 18 anos de idade), meia idade (19 a 50 anos de idade) e idade adulta mais velha (após 50 anos de idade), sendo excluída a infância pelo viés de recordação. Além disso, foram submetidas a dosagem da densidade mineral óssea em diversas partes do corpo. O estudo pode concluir que a relação entre a ingestão de leite após a faixa etária da adolescência e a densidade mineral óssea é positiva, uma vez que os resultados estatísticos evidenciaram que uma dieta rica em cálcio contribui para o pico de massa óssea na idade adulta e idade adulta mais velha. (Soroko, et. al)</w:t>
      </w:r>
    </w:p>
    <w:p w:rsidR="00000000" w:rsidDel="00000000" w:rsidP="00000000" w:rsidRDefault="00000000" w:rsidRPr="00000000" w14:paraId="00000067">
      <w:pPr>
        <w:spacing w:after="0" w:before="0" w:line="48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matéria do editorial da revista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American Society for Clinical Nutrition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trouxe dados após a análise de alguns estudos com a relação entre o consumo do leite na infância e adolescência e o risco de fraturas no idoso. Dessa forma, foi relatado que a ingestão atual de cálcio na dieta alimentar foi mais consistente às medidas ósseas do que a ingestão de cálcio na dieta mais cálcio através de suplementação e o uso de antiácidos. Além disso, segundo os autores desses estudos é relevante informar que o leite não contenha apenas cálcio, mas sim vitamina D, fósforo, proteína, zinco e magnésio, o que corrobora que este complexo natural de nutrientes pode ter um efeito maior na integridade esquelética duradoura do que o cálcio administrado em um programa de suplementação de curto prazo.</w:t>
      </w:r>
    </w:p>
    <w:p w:rsidR="00000000" w:rsidDel="00000000" w:rsidP="00000000" w:rsidRDefault="00000000" w:rsidRPr="00000000" w14:paraId="00000068">
      <w:pPr>
        <w:spacing w:after="0" w:before="0" w:line="48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Outro estudo que investigou se a proteína do soro do leite, mais especificamente, a proteína básica do leite, era capaz de suprir a reabsorção óssea em ratos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Sprague-Dawley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Nesse sentido, o estudo conseguiu ilustrar estatisticamente que a proteína básica do leite é capaz de suprimir a reabsorção óssea por seus efeitos diretos no osteoclasto, resultando na prevenção da perda óssea que ocorre nesses ratos. (Toba, et. al)</w:t>
      </w:r>
    </w:p>
    <w:p w:rsidR="00000000" w:rsidDel="00000000" w:rsidP="00000000" w:rsidRDefault="00000000" w:rsidRPr="00000000" w14:paraId="00000069">
      <w:pPr>
        <w:spacing w:after="0" w:before="0" w:line="48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Segundo a Sociedade Brasileira de Alimentação e Nutrição (SBAN), em 2015, atualizou o documento com o tema “A importância do consumo do leite no atual cenário nutricional brasileiro”. Nesse cenário, esse documento trouxe diferentes temas a respeito desse assunto, sendo válido ressaltar o padrão alimentar brasileiro, que ilustra uma mudança no padrão alimentar, sendo que foi diminuído o consumo de feijão (31%), raízes e tubérculos (32%) e aumentou o consumo de alimentos processados, tais como biscoitos (400%) e refrigerantes (400%). Foi enfatizado que leite e seus derivados merecem destaque por constituírem um grupo de alimentos de grande valor nutricional, uma vez que são fontes ricas em proteínas de alto valor biológico. (SBAN, 2015)</w:t>
      </w:r>
    </w:p>
    <w:p w:rsidR="00000000" w:rsidDel="00000000" w:rsidP="00000000" w:rsidRDefault="00000000" w:rsidRPr="00000000" w14:paraId="0000006A">
      <w:pPr>
        <w:spacing w:after="0" w:before="0" w:line="48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Nesse mesmo documento, foi demonstrado que segundo a Pirâmide alimentar adaptada à população brasileira, recomenda-se o consumo diário de três porções lácteos, segundo a imagem 1, o que equivale a um copo de leite de 200ml, por exemplo. Além disso, foi ilustrado a importância do consumo do leite na saúde óssea, principalmente na infância, em que o tecido ósseo se desenvolve intensamente, além de na saúde muscular, uma vez que a proteína do soro do leite possui um teor elevado aminoácidos essenciais de cadeia ramificada (BCAA), em particular a leucina, o que contribui para a síntese de proteínas, especificamente de massa muscular. (SBAN, 2015)</w:t>
      </w:r>
    </w:p>
    <w:p w:rsidR="00000000" w:rsidDel="00000000" w:rsidP="00000000" w:rsidRDefault="00000000" w:rsidRPr="00000000" w14:paraId="0000006B">
      <w:pPr>
        <w:spacing w:after="0" w:before="0" w:line="480" w:lineRule="auto"/>
        <w:ind w:firstLine="7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820130" cy="352168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0130" cy="3521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480" w:lineRule="auto"/>
        <w:ind w:firstLine="7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Figura 1: Pirâmide alimentar adaptada à população brasileira</w:t>
      </w:r>
    </w:p>
    <w:p w:rsidR="00000000" w:rsidDel="00000000" w:rsidP="00000000" w:rsidRDefault="00000000" w:rsidRPr="00000000" w14:paraId="0000006D">
      <w:pPr>
        <w:spacing w:after="0" w:before="0" w:line="4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48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480" w:lineRule="auto"/>
        <w:ind w:left="0" w:firstLine="72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Leite e derivados na prevenção de doenças</w:t>
      </w:r>
    </w:p>
    <w:p w:rsidR="00000000" w:rsidDel="00000000" w:rsidP="00000000" w:rsidRDefault="00000000" w:rsidRPr="00000000" w14:paraId="00000070">
      <w:pPr>
        <w:spacing w:after="0" w:before="0" w:line="48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leite apresenta diversos benefícios à saúde, contém diversos nutrientes e proteínas de alto valor biológico, além de ser um alimento relativamente barato e acessível. Mas além de seu papel nutricional, os componentes do leite podem contribuir para uma ação positiva e protetora na saúde humana. Além de melhorar a absorção de outros nutrientes, o leite possui ações imunomoduladoras, antitrombóticas, antibacterianas e opióides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Uscanga-Domínguez et.al, 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="480" w:lineRule="auto"/>
        <w:ind w:firstLine="72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doenças metabólicas tem sofrido relativo aumento em sua incidência nos últimos anos, diversos estudos mostram que o consumo diário de leite e derivados, com baixo teor de gordura, podem contribuir para a prevenção da diabetes tipo 2 (Bjørnshave A &amp; Hermansen K, 2014), e da síndrome metabólica (Chen G-G et.al, 2015), além de possuir um efeito positivo na dislipidemia, hipertensão e redução da incidência de obesidade. Este efeito protetor pode ser associado à presença abundante de minerais como cálcio e magnésio, além da vitamina D e ácidos graxos de cadeia média, sendo apontados como responsáveis pelo controle da glicemia e resposta à insulina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Pereira, 2014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48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Estudos apontam também resultados protetores sobre consumo de produtos lácteos contra o desenvolvimento de doenças cardiovasculares (DCV) (Drouin-Chartier J et.al, 2016; Alexander DD et.al, 2016; Guo J et.al, 2017). Evidências sugerem que compostos presentes no leite podem regular a pressão arterial de duas formas: pela ação de minerais como magnésio, potássio e cálcio, que apresentam efeitos anti-hipertensivos; e alguns peptídeos bioativos produzidos durante a digestão da caseína, que são capazes de inibir diretamente a ação da enzima conversora de angiotensina, reduzindo a síntese de angiotensina II e a hidrólise de bradicinina. Além disso, o perfil lipídico do leite junto à quantidade de cálcio favorece o metabolismo lipídico, levando à produção de partículas maiores e menos densas de LDL, diminuição de triacilgliceróis no plasma e aumento dos níveis de HDL plasmáticos. Devido à influência da hipertensão e dislipidemia no risco de DCV, pode-se dizer que o leite tem uma ação protetora nesta enfermidade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Pereira, 2014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480" w:lineRule="auto"/>
        <w:ind w:firstLine="72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ácido linoleico conjugado, juntamente ao cálcio, proteínas, aminoácidos de cadeia ramificada e vitamina D, têm sido correlacionados com a redução do risco de obesidade (Van Loan M, 2009;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Dougkas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et.al, 2011). A hipótese destes estudos implica que o cálcio é capaz de regular a composição de gordura e peso corporal, através da redução da lipogênese e aumento da lipólise, além da regulação da absorção de gorduras da dieta (Christensen R, 2009). A redução da produção de angiotensina II, pelos peptídeos bioativos do leite, além de regular a pressão, também é capaz de diminuir a deposição de gordura intracelular, visto que a angiotensina II é responsável pelo estímulo da lipogênese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 and Russo, 2006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Outra hipótese é que a fração solúvel das proteínas do soro do leite (~20%) pode exercer efeito sobre a saciedade, reduzindo o consumo excessivo de alimentos e prevenindo o ganho excessivo de peso. Isso é proposto devido à modulação de hormônios intestinais, com aumento da liberação de colecistoquinina, peptídeo semelhante a glucagon I (GLP-1) e leptina, que estão relacionados à diminuição do apetite, além de diminuição da liberação do hormônio grelina, estimulador do apetite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Pereira, 2014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48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quantidade de cálcio presente no leite é outro ponto relevante, por ser bastante elevada, de alta biodisponibilidade e digestibilidade, torna-se uma ótima fonte para manutenção da saúde óssea. Junto ao cálcio, existe grande quantidade de fósforo (ligados à caseína), e vitamina 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48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Junto à saúde óssea, os componentes do leite apresentam ações na saúde muscular, principalmente em indivíduos idosos que têm maiores mudanças na composição corporal e perda de massa muscular. Esta ação se deve principalmente ao conteúdo elevado de aminoácidos de cadeia ramificada (BCAAs) presentes na proteína do soro do leite, além das vitaminas e minerais abundantes neste alimento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Uscanga-Domínguez et.al, 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48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ácidos graxos poliinsaturados presentes no leite e em derivados lácteos, principalmente o ácido linoléico conjugado (ômega 6), apresentam efeito benéfico em doenças inflamatórias intestinais, devido à sua ação sobre a produção de prostaciclinas, tromboxanos, ácido araquidônico, citocinas e acetilcolina. Além disso tem ação na microbiota, favorecendo o crescimento de bactérias benéficas como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Lactobacillus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auxiliando na motilidade intestinal.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48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leite e seus derivados possuem ainda propriedades antioxidantes, principalmente em produtos fermentados, devido à compostos como as vitaminas A e E, carotenóides, selênio, zinco, aminoácidos com grupo enxofre (como a cisteína), além de sistemas enzimáticos como a catalase e glutationa peroxidase. Ambos, antioxidantes hidrofílicos e lipofílicos, presentes no leite participam de forma relevante da homeostase pró e antioxidante no corpo humano (Grażyna et.al, 2017).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48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Quanto ao risco de câncer, existem muitas opiniões controversas, porém grande parte dos estudos mostram efeito neutro ou fracamente protetivo contra câncer de cólon e fraca correlação com câncer de próstata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Marangoni et.al, 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79">
      <w:pPr>
        <w:spacing w:after="0" w:before="0" w:line="48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recomendação, principalmente entre a população idosa, é o consumo destes produtos lácteos desnatados ou produzidos com gordura vegetal. Desta forma, o consumo de leite e seus derivados trás diversos benefícios, e tem potencial de atuar como coadjuvante em tratamentos de desordens metabólicas, intestinais e doenças cardiovasculares (Khan et.al, 2019). </w:t>
      </w:r>
    </w:p>
    <w:p w:rsidR="00000000" w:rsidDel="00000000" w:rsidP="00000000" w:rsidRDefault="00000000" w:rsidRPr="00000000" w14:paraId="0000007A">
      <w:pPr>
        <w:spacing w:after="0" w:before="0" w:line="48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há grande consenso entre os estudos em relação à algumas enfermidades, muitos autores relatam falhas nos delineamentos dos estudos analisados, informações sobre variáveis limitadas, falta de padronização a respeito das quantidades de leite utilizadas e conteúdo de gordura, e também há relativamente poucos estudos de longo prazo com enfoque no consumo de leite por adultos e suas consequências à saúde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0" w:before="0" w:line="48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  <w:highlight w:val="magent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Motivos para o não consumo de leite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leite, consumido em grande quantidade globalmente, é fonte de proteínas e cálcio. Uma das principais proteínas do leite, a β-caseína, apresenta duas variantes, A1 e A2. Por ser digerido no intestino, estudos focaram nos efeitos das variantes A1 e A2 no sistema gastrointestinal (Yadav, S. et al, 2020).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Diferenças estruturais na cadeia da variante A2 permitem que esta impeça a produção de BCM7, peptídeo bioativo com atividade em receptores opióides e responsável por algumas doenças, inclusive, de acordo com pesquisas recentes, quadros de intolerância a lactose. Há também a sugestão de que a beta caseína A1 contribua para o desenvolvimento de doença cardíaca isquêmica, síndrome da morte súbita infantil, esquizofrenia e autismo e diabetes tipo 1 (Masella, E. et al, 2017).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Outro estudo desafiou a resposta de B-caseínas em alelos possíveis (A1A1, A1A2 e A2A2) e sua resposta no sistema inflamatório, em modelos utilizando camundongos. Os animais alimentados com β-caseínas A1/A1 e A1/A2 tiveram a inflamação mediada por células Th2, relacionada a alergias, aumentada. Assim, semelhante ao observado no intestino, o consumo de leite apresentou efeitos imunológicos nas vias aéreas dos camundongos. O alelo A1A1 aumentou a hiperresponsividade das vias aéreas, a produção de IgE e a produção de citocinas inflamatórias Th2 nos camundongos, bem como o fluxo de células inflamatórias para as vias aéreas e remodelamento destas (Yadav, S. et al, 2020).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Produtos lácteos, como manteiga, queijos e até o próprio leite são ricos em ácidos graxos e colesterol, o que pode contribuir com o desenvolvimento de doenças cardiovasculares. A ingestão de leite e produtos lácteos também pode estar associada a carcinogênese, cuja patogênese inclui o aumento do IGF-I circulante, modificação do status da vitamina D, aumento da ingestão de cálcio, ácido linolênico conjugado e exposição a contaminantes, como bifenilos policlorados (Martin, RM. et al, 2011). O IGF-I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insulin-like growth factors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tem importante papel em neoplasias pois aumentam a atividade do ciclo celular e inibem a apoptose (Castro, AM. et al, 2005).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Além disso, estudos demonstram que a fração de proteína hidrofílica no leite de vaca, que aumenta a sinalização ​​IGF-1, possa ter influência no agravamento de casos de acne induzida pelo leite (Melnik, BC. et al, 2009).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="48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48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Conclusão</w:t>
      </w:r>
    </w:p>
    <w:p w:rsidR="00000000" w:rsidDel="00000000" w:rsidP="00000000" w:rsidRDefault="00000000" w:rsidRPr="00000000" w14:paraId="00000083">
      <w:pPr>
        <w:spacing w:after="0" w:before="0" w:line="48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48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Referências</w:t>
      </w:r>
    </w:p>
    <w:p w:rsidR="00000000" w:rsidDel="00000000" w:rsidP="00000000" w:rsidRDefault="00000000" w:rsidRPr="00000000" w14:paraId="00000085">
      <w:pPr>
        <w:spacing w:after="200" w:before="0" w:line="360" w:lineRule="auto"/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Alexander DD, Bylsma LC, Vargas AJ, et al. “Dairy consumption and CVD: a systematic review and meta-analysis”.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British Journal of Nutrition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(2016);115: pp. 737-750.</w:t>
      </w:r>
    </w:p>
    <w:p w:rsidR="00000000" w:rsidDel="00000000" w:rsidP="00000000" w:rsidRDefault="00000000" w:rsidRPr="00000000" w14:paraId="00000086">
      <w:pPr>
        <w:spacing w:after="200" w:before="0" w:line="360" w:lineRule="auto"/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 G, Russo P, “Dairy foods, dietary calcium and obesity: A short review of the evidence”.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Nutrition, Metabolism and Cardiovascular Diseases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(2006); 16(6): pp. 445-451.</w:t>
      </w:r>
    </w:p>
    <w:p w:rsidR="00000000" w:rsidDel="00000000" w:rsidP="00000000" w:rsidRDefault="00000000" w:rsidRPr="00000000" w14:paraId="00000087">
      <w:pPr>
        <w:spacing w:after="200" w:before="0" w:line="360" w:lineRule="auto"/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Bjørnshave A, Hermansen K, “Effects of dairy protein and fat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metabolic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syndrome and type 2 diabetes”.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Review of Diabetic Studies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(2014);11: pp. 153-166.</w:t>
      </w:r>
    </w:p>
    <w:p w:rsidR="00000000" w:rsidDel="00000000" w:rsidP="00000000" w:rsidRDefault="00000000" w:rsidRPr="00000000" w14:paraId="00000088">
      <w:pPr>
        <w:spacing w:after="200" w:before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Castro AMS, Guerra-Júnior G, “GH/IGF e neoplasia: o que há de novo nesta associação”.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Arquivos Brasileiros de Endocrinologia &amp; Metabologia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(2005); 49(5): pp. 833-842.</w:t>
      </w:r>
    </w:p>
    <w:p w:rsidR="00000000" w:rsidDel="00000000" w:rsidP="00000000" w:rsidRDefault="00000000" w:rsidRPr="00000000" w14:paraId="00000089">
      <w:pPr>
        <w:spacing w:after="200" w:before="0" w:line="360" w:lineRule="auto"/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Chen G-C, Szeto IMY, Chen L-H, et al. “Dairy products consumption and metabolic syndrome in adults: systematic review and meta-analysis of observational studies”.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Scientific Reports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(2015);5: pp. 14606.</w:t>
      </w:r>
    </w:p>
    <w:p w:rsidR="00000000" w:rsidDel="00000000" w:rsidP="00000000" w:rsidRDefault="00000000" w:rsidRPr="00000000" w14:paraId="0000008A">
      <w:pPr>
        <w:spacing w:after="200" w:before="0" w:line="360" w:lineRule="auto"/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Christensen R, Lorenzen JK,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Svith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CR, et al. “Effect of calcium from dairy and dietary supplements on faecal fat excretion: A meta-analysis of randomized controlled trials”.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Obesity Reviews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(2009);10(4): pp. 475–486.</w:t>
      </w:r>
    </w:p>
    <w:p w:rsidR="00000000" w:rsidDel="00000000" w:rsidP="00000000" w:rsidRDefault="00000000" w:rsidRPr="00000000" w14:paraId="0000008B">
      <w:pPr>
        <w:spacing w:after="200" w:before="0" w:line="360" w:lineRule="auto"/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Dougkas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A, Reynolds CK, Givens ID, et al. “Associations between dairy consumption and body weight: A review of the evidence and underlying mechanisms”.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Nutrition Research Reviews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(2011);24(1): pp. 72–95.</w:t>
      </w:r>
    </w:p>
    <w:p w:rsidR="00000000" w:rsidDel="00000000" w:rsidP="00000000" w:rsidRDefault="00000000" w:rsidRPr="00000000" w14:paraId="0000008C">
      <w:pPr>
        <w:spacing w:after="200" w:before="0" w:line="360" w:lineRule="auto"/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Drouin-Chartier J, Brassard D, Tessier-Grenier M, et al. “Systematic review of the association between dairy product consumption and risk of cardiovascular-related clinical outcomes”.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Advances in Nutrition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(2016);7: pp. 1026-1040.</w:t>
      </w:r>
    </w:p>
    <w:p w:rsidR="00000000" w:rsidDel="00000000" w:rsidP="00000000" w:rsidRDefault="00000000" w:rsidRPr="00000000" w14:paraId="0000008D">
      <w:pPr>
        <w:spacing w:after="200" w:before="0" w:line="360" w:lineRule="auto"/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Foroutan A, Guo A C, Fresno R V, et al. “Chemical Composition of Commercial Cow’s Milk”.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Journal of Agricultural and Food Chemistry.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(2019);67: pp 4897-4914.</w:t>
      </w:r>
    </w:p>
    <w:p w:rsidR="00000000" w:rsidDel="00000000" w:rsidP="00000000" w:rsidRDefault="00000000" w:rsidRPr="00000000" w14:paraId="0000008E">
      <w:pPr>
        <w:spacing w:after="200" w:before="0" w:line="360" w:lineRule="auto"/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Grażyna C, Hanna C, Adam A, et al. “Natural antioxidants in milk and dairy products”.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International Journal of Dairy Technology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(2017);70(2): pp. 165-178.</w:t>
      </w:r>
    </w:p>
    <w:p w:rsidR="00000000" w:rsidDel="00000000" w:rsidP="00000000" w:rsidRDefault="00000000" w:rsidRPr="00000000" w14:paraId="0000008F">
      <w:pPr>
        <w:spacing w:after="200" w:before="0" w:line="360" w:lineRule="auto"/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Guo J, Astrup A, Lovegrove JA, et al. “Milk and dairy consump- tion and risk of cardiovascular diseases and all-cause mortality: dose-response meta-analysis of prospective cohort studies”.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European Journal of Epidemiology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(2017);32: pp. 269-287.</w:t>
      </w:r>
    </w:p>
    <w:p w:rsidR="00000000" w:rsidDel="00000000" w:rsidP="00000000" w:rsidRDefault="00000000" w:rsidRPr="00000000" w14:paraId="00000090">
      <w:pPr>
        <w:spacing w:after="200" w:before="0" w:line="360" w:lineRule="auto"/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Hsieh C-C, Hernández-Ledesma B, Fernández-Tomé S, et al. “Milk Proteins, Peptides, and Oligosaccharides: Effects against the 21st Century Disorders”.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BioMed Research International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(2015); pp. 1-16.</w:t>
      </w:r>
    </w:p>
    <w:p w:rsidR="00000000" w:rsidDel="00000000" w:rsidP="00000000" w:rsidRDefault="00000000" w:rsidRPr="00000000" w14:paraId="00000091">
      <w:pPr>
        <w:spacing w:after="200" w:before="0" w:line="360" w:lineRule="auto"/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Khan IT, Nadeen M, Imran M, et al. “Antioxidant properties of milk and dairy products: A comprehensive review of the current knowledge”.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Lipids in Health and Disease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(2019);18: pp. 41.</w:t>
      </w:r>
    </w:p>
    <w:p w:rsidR="00000000" w:rsidDel="00000000" w:rsidP="00000000" w:rsidRDefault="00000000" w:rsidRPr="00000000" w14:paraId="00000092">
      <w:pPr>
        <w:spacing w:after="200" w:before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Marangoni F, Pellegrino L, Verduci E, “Cow’s Milk Consumption and Health: A Health Professional’s Guide”.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Journal of the American College of Nutrition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(2018); pp. 1-12. </w:t>
      </w:r>
    </w:p>
    <w:p w:rsidR="00000000" w:rsidDel="00000000" w:rsidP="00000000" w:rsidRDefault="00000000" w:rsidRPr="00000000" w14:paraId="00000093">
      <w:pPr>
        <w:spacing w:after="200" w:before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Martin RM, Holly JMP, Gunnell D, “Milk and Linear Growth: Programming of the IGF-I Axis and Implication for Health in Adulthood”.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Nestlé Nutrition Institute Workshop Series: Pediatric Program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(2011); pp. 79–97. </w:t>
      </w:r>
    </w:p>
    <w:p w:rsidR="00000000" w:rsidDel="00000000" w:rsidP="00000000" w:rsidRDefault="00000000" w:rsidRPr="00000000" w14:paraId="00000094">
      <w:pPr>
        <w:spacing w:after="200" w:before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Massella E, Piva S, Giacometti F, et al. “Evaluation of bovine beta casein polymorphism in two dairy farms located in northern Italy”.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Italian Journal of Food Safety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(2017); 6(3): pp. 131-133.</w:t>
      </w:r>
    </w:p>
    <w:p w:rsidR="00000000" w:rsidDel="00000000" w:rsidP="00000000" w:rsidRDefault="00000000" w:rsidRPr="00000000" w14:paraId="00000095">
      <w:pPr>
        <w:spacing w:after="200" w:before="0"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Melnik BC, Schmitz G, “Role of insulin, insulin-like growth factor-1, hyperglycaemic food and milk consumption in the pathogenesis of acne vulgaris”.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Experimental Dermatology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(2009); 18(10): pp. 833–841</w:t>
      </w:r>
    </w:p>
    <w:p w:rsidR="00000000" w:rsidDel="00000000" w:rsidP="00000000" w:rsidRDefault="00000000" w:rsidRPr="00000000" w14:paraId="00000096">
      <w:pPr>
        <w:spacing w:after="200" w:before="0"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Pereira PC, “Milk nutritional composition and its role in human health”.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Nutrition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(2014); 30(6): pp. 619-627.</w:t>
      </w:r>
    </w:p>
    <w:p w:rsidR="00000000" w:rsidDel="00000000" w:rsidP="00000000" w:rsidRDefault="00000000" w:rsidRPr="00000000" w14:paraId="00000097">
      <w:pPr>
        <w:spacing w:after="200" w:before="0" w:line="48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Sociedade Brasileira de Alimentação e Nutrição (SBAN).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importância do consumo do leite no atual cenário nutricional brasileiro.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2015.</w:t>
      </w:r>
    </w:p>
    <w:p w:rsidR="00000000" w:rsidDel="00000000" w:rsidP="00000000" w:rsidRDefault="00000000" w:rsidRPr="00000000" w14:paraId="00000098">
      <w:pPr>
        <w:spacing w:after="200" w:before="0" w:line="48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Soroko, S.; Holbrook, T.L.; Edelstein, S.; Barret-Connor, 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Lifetime milk consumption and bone mineral density in older women.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Health Briefs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– American Journal of Public Health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vol. 84, n. 8, 1994.</w:t>
      </w:r>
    </w:p>
    <w:p w:rsidR="00000000" w:rsidDel="00000000" w:rsidP="00000000" w:rsidRDefault="00000000" w:rsidRPr="00000000" w14:paraId="00000099">
      <w:pPr>
        <w:spacing w:after="200" w:before="0" w:line="48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Toba, Y.; Takada, Y.; Yamamura, J.; Tanaka, M.; Matsuoka, Y.; Kawakami, H.; Itabashi, A.; Aoe, S.; Kumegawa, M.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Milk basic protein: a novel protective function of milk against osteoporosis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Elsevier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Sep2000, volume 27, pages 403-408.</w:t>
      </w:r>
    </w:p>
    <w:p w:rsidR="00000000" w:rsidDel="00000000" w:rsidP="00000000" w:rsidRDefault="00000000" w:rsidRPr="00000000" w14:paraId="0000009A">
      <w:pPr>
        <w:spacing w:after="200" w:before="0" w:line="48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Tucker, K.L.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Does milk intake in childhood protect against later osteoporosis?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American Society for Clinical Nutrition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2003, 77:10-1.</w:t>
      </w:r>
    </w:p>
    <w:p w:rsidR="00000000" w:rsidDel="00000000" w:rsidP="00000000" w:rsidRDefault="00000000" w:rsidRPr="00000000" w14:paraId="0000009B">
      <w:pPr>
        <w:spacing w:after="200" w:before="0"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Uscanga-Domínguez L, Orozco-García IJ, Vázquez-Frias R, et al. “Posición técnica sobre la leche y derivados lácteos en la salud y en la enfermedad del adulto de la Asociación Mexicana de Gastroenterología y la Asociación Mexicana de Gerontología y Geriatría”.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Revista de Gastroenterología de México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(2019); 84(3): pp. 357-371</w:t>
      </w:r>
    </w:p>
    <w:p w:rsidR="00000000" w:rsidDel="00000000" w:rsidP="00000000" w:rsidRDefault="00000000" w:rsidRPr="00000000" w14:paraId="0000009C">
      <w:pPr>
        <w:spacing w:after="200" w:before="0" w:line="480" w:lineRule="auto"/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 Loan M, “The role of dairy foods and dietary calcium in weight management”.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Journal of the American College of Nutrition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(2009); 28(suppl 1):120S–129S.</w:t>
      </w:r>
    </w:p>
    <w:p w:rsidR="00000000" w:rsidDel="00000000" w:rsidP="00000000" w:rsidRDefault="00000000" w:rsidRPr="00000000" w14:paraId="0000009D">
      <w:pPr>
        <w:spacing w:after="200" w:before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Yadav S, Yadav NDS, Gheware 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 al.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“Oral Feeding of Cow Milk Containing A1 Variant of β Casein Induces Pulmonary Inflammation in Male Balb/c Mice”.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Science Reports Nature.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(2020);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10, 8053.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ianca Andrina Ottolenghi Montefusco Lobao" w:id="0" w:date="2020-10-20T21:55:08Z"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que não seria interessante colocar aqui também sobre a caseína?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