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FA57" w14:textId="10AFA443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Nome:</w:t>
      </w:r>
      <w:r w:rsidR="00C76422">
        <w:rPr>
          <w:rFonts w:cstheme="minorHAnsi"/>
          <w:sz w:val="23"/>
          <w:szCs w:val="23"/>
          <w:lang w:val="pt-PT"/>
        </w:rPr>
        <w:t xml:space="preserve"> Carolina Santana </w:t>
      </w:r>
      <w:proofErr w:type="spellStart"/>
      <w:r w:rsidR="00C76422">
        <w:rPr>
          <w:rFonts w:cstheme="minorHAnsi"/>
          <w:sz w:val="23"/>
          <w:szCs w:val="23"/>
          <w:lang w:val="pt-PT"/>
        </w:rPr>
        <w:t>Calicchio</w:t>
      </w:r>
      <w:proofErr w:type="spellEnd"/>
      <w:r w:rsidR="00C76422">
        <w:rPr>
          <w:rFonts w:cstheme="minorHAnsi"/>
          <w:sz w:val="23"/>
          <w:szCs w:val="23"/>
          <w:lang w:val="pt-PT"/>
        </w:rPr>
        <w:t xml:space="preserve">           </w:t>
      </w:r>
      <w:r w:rsidRPr="00224191">
        <w:rPr>
          <w:rFonts w:cstheme="minorHAnsi"/>
          <w:sz w:val="23"/>
          <w:szCs w:val="23"/>
          <w:lang w:val="pt-PT"/>
        </w:rPr>
        <w:t xml:space="preserve"> No. USP:</w:t>
      </w:r>
      <w:r w:rsidR="00C76422">
        <w:rPr>
          <w:rFonts w:cstheme="minorHAnsi"/>
          <w:sz w:val="23"/>
          <w:szCs w:val="23"/>
          <w:lang w:val="pt-PT"/>
        </w:rPr>
        <w:t xml:space="preserve"> 11024720</w:t>
      </w:r>
    </w:p>
    <w:p w14:paraId="3229C224" w14:textId="6698422F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 xml:space="preserve"> </w:t>
      </w:r>
    </w:p>
    <w:tbl>
      <w:tblPr>
        <w:tblStyle w:val="TabelacomGrelh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353"/>
        <w:gridCol w:w="2123"/>
        <w:gridCol w:w="2754"/>
      </w:tblGrid>
      <w:tr w:rsidR="008B7A89" w:rsidRPr="00224191" w14:paraId="3447F575" w14:textId="77777777" w:rsidTr="008364CD">
        <w:trPr>
          <w:trHeight w:val="250"/>
        </w:trPr>
        <w:tc>
          <w:tcPr>
            <w:tcW w:w="2268" w:type="dxa"/>
            <w:vMerge w:val="restart"/>
            <w:vAlign w:val="bottom"/>
          </w:tcPr>
          <w:p w14:paraId="0709A91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230" w:type="dxa"/>
            <w:gridSpan w:val="3"/>
          </w:tcPr>
          <w:p w14:paraId="18A95C5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</w:t>
            </w:r>
            <w:proofErr w:type="spellEnd"/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infecciosas</w:t>
            </w:r>
          </w:p>
        </w:tc>
      </w:tr>
      <w:tr w:rsidR="008B7A89" w:rsidRPr="00224191" w14:paraId="286436C8" w14:textId="77777777" w:rsidTr="008364CD">
        <w:trPr>
          <w:trHeight w:val="278"/>
        </w:trPr>
        <w:tc>
          <w:tcPr>
            <w:tcW w:w="2268" w:type="dxa"/>
            <w:vMerge/>
          </w:tcPr>
          <w:p w14:paraId="47A05568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353" w:type="dxa"/>
          </w:tcPr>
          <w:p w14:paraId="6CF950B1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123" w:type="dxa"/>
          </w:tcPr>
          <w:p w14:paraId="3399954E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754" w:type="dxa"/>
          </w:tcPr>
          <w:p w14:paraId="2601A6AE" w14:textId="11E05B74" w:rsidR="008B7A89" w:rsidRPr="00224191" w:rsidRDefault="008364CD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14:paraId="2E954686" w14:textId="77777777" w:rsidTr="008364CD">
        <w:trPr>
          <w:trHeight w:val="250"/>
        </w:trPr>
        <w:tc>
          <w:tcPr>
            <w:tcW w:w="2268" w:type="dxa"/>
            <w:vAlign w:val="center"/>
          </w:tcPr>
          <w:p w14:paraId="27965AC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353" w:type="dxa"/>
            <w:vAlign w:val="center"/>
          </w:tcPr>
          <w:p w14:paraId="4E24EF50" w14:textId="7C08DC6F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Arbovírus (DENVs)</w:t>
            </w:r>
          </w:p>
        </w:tc>
        <w:tc>
          <w:tcPr>
            <w:tcW w:w="2123" w:type="dxa"/>
            <w:vAlign w:val="center"/>
          </w:tcPr>
          <w:p w14:paraId="79FDAF4B" w14:textId="37EAC83B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754" w:type="dxa"/>
            <w:vAlign w:val="center"/>
          </w:tcPr>
          <w:p w14:paraId="143ACB48" w14:textId="280243A8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14:paraId="42E28EA2" w14:textId="77777777" w:rsidTr="008364CD">
        <w:trPr>
          <w:trHeight w:val="263"/>
        </w:trPr>
        <w:tc>
          <w:tcPr>
            <w:tcW w:w="2268" w:type="dxa"/>
            <w:vAlign w:val="center"/>
          </w:tcPr>
          <w:p w14:paraId="2FBF5374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353" w:type="dxa"/>
            <w:vAlign w:val="center"/>
          </w:tcPr>
          <w:p w14:paraId="59F15BA3" w14:textId="7F193094" w:rsidR="008B7A89" w:rsidRPr="00224191" w:rsidRDefault="00A96C74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 e alguns primatas</w:t>
            </w:r>
          </w:p>
        </w:tc>
        <w:tc>
          <w:tcPr>
            <w:tcW w:w="2123" w:type="dxa"/>
            <w:vAlign w:val="center"/>
          </w:tcPr>
          <w:p w14:paraId="1B555588" w14:textId="07A192D7" w:rsidR="008B7A89" w:rsidRPr="00224191" w:rsidRDefault="00A96C74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2754" w:type="dxa"/>
            <w:vAlign w:val="center"/>
          </w:tcPr>
          <w:p w14:paraId="33BF09AA" w14:textId="48A22D21" w:rsidR="008B7A89" w:rsidRPr="00224191" w:rsidRDefault="00A96C74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</w:tr>
      <w:tr w:rsidR="008B7A89" w:rsidRPr="00224191" w14:paraId="2510D418" w14:textId="77777777" w:rsidTr="008364CD">
        <w:trPr>
          <w:trHeight w:val="250"/>
        </w:trPr>
        <w:tc>
          <w:tcPr>
            <w:tcW w:w="2268" w:type="dxa"/>
            <w:vAlign w:val="center"/>
          </w:tcPr>
          <w:p w14:paraId="0886A87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353" w:type="dxa"/>
            <w:vAlign w:val="center"/>
          </w:tcPr>
          <w:p w14:paraId="30F94E8C" w14:textId="6A712871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123" w:type="dxa"/>
            <w:vAlign w:val="center"/>
          </w:tcPr>
          <w:p w14:paraId="6747139E" w14:textId="7B4FE8CF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Sangue/fluidos com leucócitos</w:t>
            </w:r>
          </w:p>
        </w:tc>
        <w:tc>
          <w:tcPr>
            <w:tcW w:w="2754" w:type="dxa"/>
            <w:vAlign w:val="center"/>
          </w:tcPr>
          <w:p w14:paraId="2CC88E88" w14:textId="1EE0929D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 respiratórias</w:t>
            </w:r>
          </w:p>
        </w:tc>
      </w:tr>
      <w:tr w:rsidR="008B7A89" w:rsidRPr="00224191" w14:paraId="7E97DEC5" w14:textId="77777777" w:rsidTr="008364CD">
        <w:trPr>
          <w:trHeight w:val="250"/>
        </w:trPr>
        <w:tc>
          <w:tcPr>
            <w:tcW w:w="2268" w:type="dxa"/>
            <w:vAlign w:val="center"/>
          </w:tcPr>
          <w:p w14:paraId="11A56AA6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353" w:type="dxa"/>
            <w:vAlign w:val="center"/>
          </w:tcPr>
          <w:p w14:paraId="11F91230" w14:textId="45269570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123" w:type="dxa"/>
            <w:vAlign w:val="center"/>
          </w:tcPr>
          <w:p w14:paraId="1B3B718A" w14:textId="6C0671B1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 lesionada</w:t>
            </w:r>
          </w:p>
        </w:tc>
        <w:tc>
          <w:tcPr>
            <w:tcW w:w="2754" w:type="dxa"/>
            <w:vAlign w:val="center"/>
          </w:tcPr>
          <w:p w14:paraId="527F7427" w14:textId="64A2291A" w:rsidR="008B7A89" w:rsidRPr="00224191" w:rsidRDefault="008364CD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 vias respiratórias</w:t>
            </w:r>
          </w:p>
        </w:tc>
      </w:tr>
      <w:tr w:rsidR="008B7A89" w:rsidRPr="00224191" w14:paraId="228130EE" w14:textId="77777777" w:rsidTr="008364CD">
        <w:trPr>
          <w:trHeight w:val="338"/>
        </w:trPr>
        <w:tc>
          <w:tcPr>
            <w:tcW w:w="2268" w:type="dxa"/>
            <w:vAlign w:val="center"/>
          </w:tcPr>
          <w:p w14:paraId="234A2D45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353" w:type="dxa"/>
            <w:vAlign w:val="center"/>
          </w:tcPr>
          <w:p w14:paraId="6FB773B9" w14:textId="0A87AC2B" w:rsidR="008B7A89" w:rsidRPr="00224191" w:rsidRDefault="00A96C74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 biológica propagativa</w:t>
            </w:r>
          </w:p>
        </w:tc>
        <w:tc>
          <w:tcPr>
            <w:tcW w:w="2123" w:type="dxa"/>
            <w:vAlign w:val="center"/>
          </w:tcPr>
          <w:p w14:paraId="6BDF813B" w14:textId="67D0B2A4" w:rsidR="008B7A89" w:rsidRPr="00224191" w:rsidRDefault="00A96C74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 e transmissão vertical</w:t>
            </w:r>
          </w:p>
        </w:tc>
        <w:tc>
          <w:tcPr>
            <w:tcW w:w="2754" w:type="dxa"/>
            <w:vAlign w:val="center"/>
          </w:tcPr>
          <w:p w14:paraId="786DAC8A" w14:textId="42E80C8C" w:rsidR="008B7A89" w:rsidRPr="00224191" w:rsidRDefault="00A96C74" w:rsidP="00A96C74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 e indireto e gotículas</w:t>
            </w:r>
          </w:p>
        </w:tc>
      </w:tr>
    </w:tbl>
    <w:p w14:paraId="513EEB9C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75E18EA5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692A3B03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1426D1A9" w14:textId="77777777" w:rsidR="0071248A" w:rsidRPr="008364CD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highlight w:val="yellow"/>
          <w:lang w:val="pt-PT"/>
        </w:rPr>
      </w:pPr>
      <w:r w:rsidRPr="008364CD">
        <w:rPr>
          <w:rFonts w:cstheme="minorHAnsi"/>
          <w:sz w:val="23"/>
          <w:szCs w:val="23"/>
          <w:highlight w:val="yellow"/>
          <w:lang w:val="pt-PT"/>
        </w:rPr>
        <w:t xml:space="preserve">Dengue e febre amarela apresentam transmissão biológica do tipo desenvolvimento do ciclo. </w:t>
      </w:r>
    </w:p>
    <w:p w14:paraId="304605A1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0952C509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475DB20D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70847702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24D68336" w14:textId="77777777" w:rsidR="00224191" w:rsidRDefault="0071248A" w:rsidP="008364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283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54746F48" w14:textId="77777777" w:rsidR="0080284B" w:rsidRPr="00224191" w:rsidRDefault="0071248A" w:rsidP="008364CD">
      <w:pPr>
        <w:pStyle w:val="PargrafodaLista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11DDEDA2" w14:textId="77777777" w:rsidR="0071248A" w:rsidRPr="00224191" w:rsidRDefault="0080284B" w:rsidP="008364CD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09F2167A" w14:textId="77777777" w:rsidR="0071248A" w:rsidRPr="00224191" w:rsidRDefault="0080284B" w:rsidP="008364CD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275509C2" w14:textId="77777777" w:rsidR="0071248A" w:rsidRPr="00224191" w:rsidRDefault="0080284B" w:rsidP="008364CD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283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04641D3D" w14:textId="77777777" w:rsidR="0071248A" w:rsidRPr="00224191" w:rsidRDefault="0071248A" w:rsidP="008364CD">
      <w:pPr>
        <w:autoSpaceDE w:val="0"/>
        <w:autoSpaceDN w:val="0"/>
        <w:adjustRightInd w:val="0"/>
        <w:spacing w:after="0" w:line="240" w:lineRule="auto"/>
        <w:ind w:left="993" w:right="283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0FC264C3" w14:textId="77777777" w:rsidR="0071248A" w:rsidRPr="00224191" w:rsidRDefault="0071248A" w:rsidP="008364CD">
      <w:pPr>
        <w:autoSpaceDE w:val="0"/>
        <w:autoSpaceDN w:val="0"/>
        <w:adjustRightInd w:val="0"/>
        <w:spacing w:after="0" w:line="240" w:lineRule="auto"/>
        <w:ind w:left="993" w:right="283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2FA037C6" w14:textId="77777777" w:rsidR="0071248A" w:rsidRPr="00224191" w:rsidRDefault="0071248A" w:rsidP="008364CD">
      <w:pPr>
        <w:autoSpaceDE w:val="0"/>
        <w:autoSpaceDN w:val="0"/>
        <w:adjustRightInd w:val="0"/>
        <w:spacing w:after="0" w:line="240" w:lineRule="auto"/>
        <w:ind w:left="993" w:right="283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0036B1F1" w14:textId="731E7712" w:rsidR="0080284B" w:rsidRPr="00224191" w:rsidRDefault="008364CD" w:rsidP="008364CD">
      <w:pPr>
        <w:autoSpaceDE w:val="0"/>
        <w:autoSpaceDN w:val="0"/>
        <w:adjustRightInd w:val="0"/>
        <w:spacing w:after="0" w:line="240" w:lineRule="auto"/>
        <w:ind w:left="567" w:right="283" w:hanging="284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Classifique </w:t>
      </w:r>
      <w:r w:rsidR="0071248A" w:rsidRPr="00224191">
        <w:rPr>
          <w:rFonts w:cstheme="minorHAnsi"/>
          <w:sz w:val="23"/>
          <w:szCs w:val="23"/>
          <w:lang w:val="pt-PT"/>
        </w:rPr>
        <w:t>os vírus acima mencionados (VHB, VHC, VIH) de maior a menor, em relação à sua infectividade, patogenicidade e virulência.</w:t>
      </w:r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2495"/>
        <w:gridCol w:w="2496"/>
        <w:gridCol w:w="2496"/>
      </w:tblGrid>
      <w:tr w:rsidR="0071248A" w:rsidRPr="00224191" w14:paraId="1F42DCD4" w14:textId="77777777" w:rsidTr="008364CD">
        <w:trPr>
          <w:trHeight w:val="252"/>
        </w:trPr>
        <w:tc>
          <w:tcPr>
            <w:tcW w:w="1901" w:type="dxa"/>
            <w:tcBorders>
              <w:bottom w:val="single" w:sz="4" w:space="0" w:color="auto"/>
            </w:tcBorders>
          </w:tcPr>
          <w:p w14:paraId="4D550E11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14:paraId="53097FC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E773F0C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FBA75B8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4EEFB637" w14:textId="77777777" w:rsidTr="008364CD">
        <w:trPr>
          <w:trHeight w:val="26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</w:tcPr>
          <w:p w14:paraId="631E6158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495" w:type="dxa"/>
          </w:tcPr>
          <w:p w14:paraId="1F894CE1" w14:textId="29296575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HBV</w:t>
            </w:r>
          </w:p>
        </w:tc>
        <w:tc>
          <w:tcPr>
            <w:tcW w:w="2496" w:type="dxa"/>
          </w:tcPr>
          <w:p w14:paraId="71571A65" w14:textId="2D0BFF2C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496" w:type="dxa"/>
          </w:tcPr>
          <w:p w14:paraId="359C798C" w14:textId="35EF4743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14:paraId="0C473020" w14:textId="77777777" w:rsidTr="008364CD">
        <w:trPr>
          <w:trHeight w:val="25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</w:tcPr>
          <w:p w14:paraId="5D2E4B5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495" w:type="dxa"/>
          </w:tcPr>
          <w:p w14:paraId="540C85D8" w14:textId="293BCA95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HCV</w:t>
            </w:r>
          </w:p>
        </w:tc>
        <w:tc>
          <w:tcPr>
            <w:tcW w:w="2496" w:type="dxa"/>
          </w:tcPr>
          <w:p w14:paraId="7F778F60" w14:textId="17CC18A9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HCV</w:t>
            </w:r>
          </w:p>
        </w:tc>
        <w:tc>
          <w:tcPr>
            <w:tcW w:w="2496" w:type="dxa"/>
          </w:tcPr>
          <w:p w14:paraId="28C442E6" w14:textId="3B5A882A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HBV</w:t>
            </w:r>
          </w:p>
        </w:tc>
      </w:tr>
      <w:tr w:rsidR="0071248A" w:rsidRPr="00224191" w14:paraId="08F9CBA5" w14:textId="77777777" w:rsidTr="008364CD">
        <w:trPr>
          <w:trHeight w:val="25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</w:tcPr>
          <w:p w14:paraId="220DE271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495" w:type="dxa"/>
          </w:tcPr>
          <w:p w14:paraId="09B4BFFA" w14:textId="3A60AEDA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496" w:type="dxa"/>
          </w:tcPr>
          <w:p w14:paraId="763592C3" w14:textId="23A85F8D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HBV</w:t>
            </w:r>
          </w:p>
        </w:tc>
        <w:tc>
          <w:tcPr>
            <w:tcW w:w="2496" w:type="dxa"/>
          </w:tcPr>
          <w:p w14:paraId="004C44D8" w14:textId="7D6C1050" w:rsidR="0071248A" w:rsidRPr="00224191" w:rsidRDefault="008364C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HCV</w:t>
            </w:r>
          </w:p>
        </w:tc>
      </w:tr>
    </w:tbl>
    <w:p w14:paraId="72061CC2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B0AD" w14:textId="77777777" w:rsidR="001C2A0E" w:rsidRDefault="001C2A0E" w:rsidP="004C075E">
      <w:pPr>
        <w:spacing w:after="0" w:line="240" w:lineRule="auto"/>
      </w:pPr>
      <w:r>
        <w:separator/>
      </w:r>
    </w:p>
  </w:endnote>
  <w:endnote w:type="continuationSeparator" w:id="0">
    <w:p w14:paraId="6DA500DD" w14:textId="77777777" w:rsidR="001C2A0E" w:rsidRDefault="001C2A0E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FA96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1DEE1CD1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52D44CF9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BD4E" w14:textId="77777777" w:rsidR="001C2A0E" w:rsidRDefault="001C2A0E" w:rsidP="004C075E">
      <w:pPr>
        <w:spacing w:after="0" w:line="240" w:lineRule="auto"/>
      </w:pPr>
      <w:r>
        <w:separator/>
      </w:r>
    </w:p>
  </w:footnote>
  <w:footnote w:type="continuationSeparator" w:id="0">
    <w:p w14:paraId="0CED8D23" w14:textId="77777777" w:rsidR="001C2A0E" w:rsidRDefault="001C2A0E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E2B1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C2A0E"/>
    <w:rsid w:val="001D6C15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364CD"/>
    <w:rsid w:val="008B1CC6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96C74"/>
    <w:rsid w:val="00AF2086"/>
    <w:rsid w:val="00BE37CA"/>
    <w:rsid w:val="00C16B6A"/>
    <w:rsid w:val="00C34104"/>
    <w:rsid w:val="00C44318"/>
    <w:rsid w:val="00C76422"/>
    <w:rsid w:val="00CD4077"/>
    <w:rsid w:val="00CD660E"/>
    <w:rsid w:val="00D02BB3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AC94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elha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075E"/>
  </w:style>
  <w:style w:type="paragraph" w:styleId="Rodap">
    <w:name w:val="footer"/>
    <w:basedOn w:val="Normal"/>
    <w:link w:val="RodapCarte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075E"/>
  </w:style>
  <w:style w:type="paragraph" w:styleId="Textodebalo">
    <w:name w:val="Balloon Text"/>
    <w:basedOn w:val="Normal"/>
    <w:link w:val="TextodebaloCarte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Tipodeletrapredefinidodopargraf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KELSON CALICCHIO</cp:lastModifiedBy>
  <cp:revision>2</cp:revision>
  <dcterms:created xsi:type="dcterms:W3CDTF">2020-09-09T21:39:00Z</dcterms:created>
  <dcterms:modified xsi:type="dcterms:W3CDTF">2020-09-09T21:39:00Z</dcterms:modified>
</cp:coreProperties>
</file>