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-560" w:right="-520" w:firstLine="0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Nome: Arthur Nascimento da Mota  No. USP: 10740151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-560" w:right="-52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Complete a seguinte tabela com os elementos necessários para a infecção correspondente acontecer em um hospedeiro suscetível: </w:t>
      </w: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"/>
        <w:tblW w:w="1009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145"/>
        <w:gridCol w:w="2775"/>
        <w:gridCol w:w="2820"/>
        <w:gridCol w:w="2355"/>
        <w:tblGridChange w:id="0">
          <w:tblGrid>
            <w:gridCol w:w="2145"/>
            <w:gridCol w:w="2775"/>
            <w:gridCol w:w="2820"/>
            <w:gridCol w:w="2355"/>
          </w:tblGrid>
        </w:tblGridChange>
      </w:tblGrid>
      <w:tr>
        <w:trPr>
          <w:trHeight w:val="28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240" w:right="-520" w:firstLine="0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Elemento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240" w:right="-52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Doenças infecciosas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40" w:before="40" w:lineRule="auto"/>
              <w:ind w:left="2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240" w:right="-8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Dengue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240" w:right="-8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Aids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240" w:right="-8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SARS-CoV-2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Agente infeccioso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Arbovírus da família Flaviviridae, gênero Flavivirus.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Vírus da Imunodeficiência Humana (VIH)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RNA vírus pertencente à família coronaviridae e da linhagem C do gênero Beta Coronavírus.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Reservatório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Mosquito Aedes aegypti</w:t>
            </w:r>
            <w:r w:rsidDel="00000000" w:rsidR="00000000" w:rsidRPr="00000000">
              <w:fldChar w:fldCharType="begin"/>
              <w:instrText xml:space="preserve"> HYPERLINK "https://www.google.com/search?sxsrf=ALeKk03uGOZfl_DhgAR3DwLLKgdqgQJr6w:1599683977840&amp;q=Aedes+aegypti&amp;stick=H4sIAAAAAAAAAONgFuLSz9U3SDe1KEgrUeIEsc0qzeLLteT8i9IT8zKLc51zEouLM9MykxNLMvPzgjNTUssTK4sXsfI6pqakFiskpqZXFpRk7mBlBAAImhtWTAAAAA&amp;sa=X&amp;ved=2ahUKEwjCz4Ga99zrAhUWDrkGHXlkCTQQxA0wGXoECBEQBQ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da família Culicidae.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Humanos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Muitas espécies de animais, incluindo camelos, gado, gatos e morcegos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Portais de saída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Sangue, absorvido pelo mosquito durante o repasto sanguíneo.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Sêmen, líquido prostático, secreções vaginais e sangue menstrual sangue (no caso da transmissão sanguínea)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Por meio de gotículas respiratórias produzidas quando uma pessoa infectada tosse ou espirra. Tendo sido identificado também transmissão por aerossóis em pacientes submetidos a procedimentos de vias aéreas, como a intubação oro traqueal ou aspiração de vias aéreas, e por contatos próximos.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Portais de entrada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Sangue, absorvido do mosquito durante o repasto sanguíneo.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Lesões das mucosas (genital, anal, bucal) ou lesões de pele, Sangue na transmissão sanguínea, ou até a placenta no caso de uma mãe soropositiva.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V</w:t>
            </w:r>
            <w:r w:rsidDel="00000000" w:rsidR="00000000" w:rsidRPr="00000000">
              <w:rPr>
                <w:highlight w:val="white"/>
                <w:rtl w:val="0"/>
              </w:rPr>
              <w:t xml:space="preserve">ias respiratórias do corpo humano, como nariz e boca, com as gotículas entrando em contato com a mucosa.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Modo de transmissão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Vetorial e por veículos comuns, no caso, sangue.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Contato Sexual sem preservativos, Transfusão Sanguínea entre alguém contaminado e outra pessoa, ou pela Transmissão Vertical.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Toque do aperto de mão contaminadas,  Gotículas de saliva; Espirro; Tosse; Catarro; Objetos ou superfícies contaminadas.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right="-52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Em relação à transmissão vetorial, qual das seguintes afirmações é falsa?</w:t>
      </w: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1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Transmissão biológica, implica a multiplicação e/ou desenvolvimento do patógeno dentro do vetor.  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1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Dengue e febre amarela apresentam transmissão biológica do tipo desenvolvimento do ciclo. 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1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Malária e leishmania são exemplos de transmissão biológica ciclo propagativa.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1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transmissão vertical implica a passagem de um patógeno entre vetores ou entre diferentes estágios da vida do vetor.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1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transmissão biológica propagativa, implica que o patógeno se multiplica dentro do vetor. 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</w:r>
      <w:r w:rsidDel="00000000" w:rsidR="00000000" w:rsidRPr="00000000">
        <w:rPr>
          <w:b w:val="1"/>
          <w:sz w:val="23"/>
          <w:szCs w:val="23"/>
          <w:rtl w:val="0"/>
        </w:rPr>
        <w:t xml:space="preserve">R: B.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right="-52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O risco biológico</w:t>
      </w:r>
      <w:r w:rsidDel="00000000" w:rsidR="00000000" w:rsidRPr="00000000">
        <w:rPr>
          <w:sz w:val="23"/>
          <w:szCs w:val="23"/>
          <w:rtl w:val="0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0" w:right="-520" w:firstLine="28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VHB pode causar doença hepática crônica em 10 % das pessoas infectadas. No entanto, até 25% das pessoas com doença crónica morrem a causa de cirrose ou câncer de fígado associado ao VHB. 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0" w:right="-520" w:firstLine="42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Em relação ao VHC, aproximadamente 80% das pessoas que sofrem infecção desenvolvem doença crônica. Destes pacientes com doença crônica, entre 1% e 5% morrem de cirrose ou câncer de fígado associado com VHC.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0" w:right="-520" w:firstLine="42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Por outro lado, praticamente todas as pessoas infectadas com o VIH desenvolvem AIDS e, sem tratamento adequado, todos os pacientes com AIDS evoluem rapidamente para um resultado fatal devido às complicações associadas a esta doença.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-13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right="-520" w:hanging="26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 risco de transmissão após um acidente biológico varia dependendo do vírus: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-13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260" w:right="-520" w:hanging="26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O risco de transmissão do </w:t>
      </w:r>
      <w:r w:rsidDel="00000000" w:rsidR="00000000" w:rsidRPr="00000000">
        <w:rPr>
          <w:b w:val="1"/>
          <w:sz w:val="23"/>
          <w:szCs w:val="23"/>
          <w:rtl w:val="0"/>
        </w:rPr>
        <w:t xml:space="preserve">VHB</w:t>
      </w:r>
      <w:r w:rsidDel="00000000" w:rsidR="00000000" w:rsidRPr="00000000">
        <w:rPr>
          <w:sz w:val="23"/>
          <w:szCs w:val="23"/>
          <w:rtl w:val="0"/>
        </w:rPr>
        <w:t xml:space="preserve"> varia de 23% -62 %.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-13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260" w:right="-520" w:hanging="26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Se o paciente fonte for </w:t>
      </w:r>
      <w:r w:rsidDel="00000000" w:rsidR="00000000" w:rsidRPr="00000000">
        <w:rPr>
          <w:b w:val="1"/>
          <w:sz w:val="23"/>
          <w:szCs w:val="23"/>
          <w:rtl w:val="0"/>
        </w:rPr>
        <w:t xml:space="preserve">VHC</w:t>
      </w:r>
      <w:r w:rsidDel="00000000" w:rsidR="00000000" w:rsidRPr="00000000">
        <w:rPr>
          <w:sz w:val="23"/>
          <w:szCs w:val="23"/>
          <w:rtl w:val="0"/>
        </w:rPr>
        <w:t xml:space="preserve"> positivo, o risco de transmissão deste virus é de aproximadamente 1,8 %.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-13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260" w:right="-520" w:hanging="26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• Se o paciente fonte for </w:t>
      </w:r>
      <w:r w:rsidDel="00000000" w:rsidR="00000000" w:rsidRPr="00000000">
        <w:rPr>
          <w:b w:val="1"/>
          <w:sz w:val="23"/>
          <w:szCs w:val="23"/>
          <w:rtl w:val="0"/>
        </w:rPr>
        <w:t xml:space="preserve">HIV</w:t>
      </w:r>
      <w:r w:rsidDel="00000000" w:rsidR="00000000" w:rsidRPr="00000000">
        <w:rPr>
          <w:sz w:val="23"/>
          <w:szCs w:val="23"/>
          <w:rtl w:val="0"/>
        </w:rPr>
        <w:t xml:space="preserve"> positivo, o risco de transmissão é de aproximadamente 0,3 % depois da exposição percutânea e 0,09 % após exposição de mucosas.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-13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20" w:right="-520" w:hanging="26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-13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20" w:right="-520" w:hanging="26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 base nessas informações, classifique os vírus acima mencionados (VHB, VHC, VIH) de maior a menor, em relação à sua infectividade, patogenicidade e virulência. </w:t>
      </w:r>
    </w:p>
    <w:tbl>
      <w:tblPr>
        <w:tblStyle w:val="Table2"/>
        <w:tblW w:w="8580.0" w:type="dxa"/>
        <w:jc w:val="left"/>
        <w:tblInd w:w="-15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980"/>
        <w:gridCol w:w="2040"/>
        <w:gridCol w:w="2325"/>
        <w:gridCol w:w="2235"/>
        <w:tblGridChange w:id="0">
          <w:tblGrid>
            <w:gridCol w:w="1980"/>
            <w:gridCol w:w="2040"/>
            <w:gridCol w:w="2325"/>
            <w:gridCol w:w="223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Infectividade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Patogenicidade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Virulência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Maior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VHB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VIH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Intermediária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VHC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VHC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VHB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Menor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VIH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VHB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5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VHC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