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C01" w:rsidRPr="00FC7BBF" w:rsidRDefault="00FC7BBF" w:rsidP="00FC7BBF">
      <w:pPr>
        <w:ind w:firstLine="708"/>
        <w:jc w:val="center"/>
        <w:rPr>
          <w:rFonts w:ascii="Calibri" w:hAnsi="Calibri" w:cs="Calibri"/>
          <w:b/>
          <w:bCs/>
        </w:rPr>
      </w:pPr>
      <w:r w:rsidRPr="00FC7BBF">
        <w:rPr>
          <w:b/>
          <w:bCs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0C77170" wp14:editId="7E578E7B">
            <wp:simplePos x="0" y="0"/>
            <wp:positionH relativeFrom="margin">
              <wp:posOffset>-912495</wp:posOffset>
            </wp:positionH>
            <wp:positionV relativeFrom="margin">
              <wp:posOffset>-732155</wp:posOffset>
            </wp:positionV>
            <wp:extent cx="1048385" cy="1106170"/>
            <wp:effectExtent l="0" t="0" r="5715" b="0"/>
            <wp:wrapSquare wrapText="bothSides"/>
            <wp:docPr id="1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E1A0CDAA-F313-7C47-9EFC-BFCFECD39C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4">
                      <a:extLst>
                        <a:ext uri="{FF2B5EF4-FFF2-40B4-BE49-F238E27FC236}">
                          <a16:creationId xmlns:a16="http://schemas.microsoft.com/office/drawing/2014/main" id="{E1A0CDAA-F313-7C47-9EFC-BFCFECD39C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F41">
        <w:rPr>
          <w:rFonts w:ascii="Calibri" w:hAnsi="Calibri" w:cs="Calibri"/>
          <w:b/>
          <w:bCs/>
        </w:rPr>
        <w:t>MATERIAL COMPLEMENTAR:</w:t>
      </w:r>
      <w:r w:rsidR="00144F41" w:rsidRPr="00FC7BBF">
        <w:rPr>
          <w:rFonts w:ascii="Calibri" w:hAnsi="Calibri" w:cs="Calibri"/>
          <w:b/>
          <w:bCs/>
        </w:rPr>
        <w:t xml:space="preserve"> Prep</w:t>
      </w:r>
      <w:r w:rsidR="00144F41">
        <w:rPr>
          <w:rFonts w:ascii="Calibri" w:hAnsi="Calibri" w:cs="Calibri"/>
          <w:b/>
          <w:bCs/>
        </w:rPr>
        <w:t>a</w:t>
      </w:r>
      <w:r w:rsidR="00144F41" w:rsidRPr="00FC7BBF">
        <w:rPr>
          <w:rFonts w:ascii="Calibri" w:hAnsi="Calibri" w:cs="Calibri"/>
          <w:b/>
          <w:bCs/>
        </w:rPr>
        <w:t xml:space="preserve">ro Básico </w:t>
      </w:r>
      <w:r w:rsidR="00144F41">
        <w:rPr>
          <w:rFonts w:ascii="Calibri" w:hAnsi="Calibri" w:cs="Calibri"/>
          <w:b/>
          <w:bCs/>
        </w:rPr>
        <w:t>e</w:t>
      </w:r>
      <w:r w:rsidR="00144F41" w:rsidRPr="00FC7BBF">
        <w:rPr>
          <w:rFonts w:ascii="Calibri" w:hAnsi="Calibri" w:cs="Calibri"/>
          <w:b/>
          <w:bCs/>
        </w:rPr>
        <w:t>m Periodontia</w:t>
      </w:r>
    </w:p>
    <w:p w:rsidR="004D0C01" w:rsidRPr="00FC7BBF" w:rsidRDefault="004D0C01" w:rsidP="00FC7BBF">
      <w:pPr>
        <w:ind w:firstLine="708"/>
        <w:jc w:val="center"/>
        <w:rPr>
          <w:rFonts w:ascii="Calibri" w:hAnsi="Calibri" w:cs="Calibri"/>
          <w:b/>
          <w:bCs/>
        </w:rPr>
      </w:pPr>
      <w:r w:rsidRPr="00FC7BBF">
        <w:rPr>
          <w:rFonts w:ascii="Calibri" w:hAnsi="Calibri" w:cs="Calibri"/>
          <w:b/>
          <w:bCs/>
        </w:rPr>
        <w:t xml:space="preserve">Aluna: Amanda </w:t>
      </w:r>
      <w:r w:rsidR="00FC7BBF">
        <w:rPr>
          <w:rFonts w:ascii="Calibri" w:hAnsi="Calibri" w:cs="Calibri"/>
          <w:b/>
          <w:bCs/>
        </w:rPr>
        <w:t xml:space="preserve">Ferreira </w:t>
      </w:r>
      <w:r w:rsidRPr="00FC7BBF">
        <w:rPr>
          <w:rFonts w:ascii="Calibri" w:hAnsi="Calibri" w:cs="Calibri"/>
          <w:b/>
          <w:bCs/>
        </w:rPr>
        <w:t>Gonzalez</w:t>
      </w:r>
    </w:p>
    <w:p w:rsidR="004D0C01" w:rsidRDefault="004D0C01" w:rsidP="004D0C01">
      <w:pPr>
        <w:ind w:firstLine="708"/>
        <w:jc w:val="center"/>
        <w:rPr>
          <w:rFonts w:ascii="Calibri" w:hAnsi="Calibri" w:cs="Calibri"/>
        </w:rPr>
      </w:pPr>
    </w:p>
    <w:p w:rsidR="005956DA" w:rsidRPr="000719DD" w:rsidRDefault="005956DA" w:rsidP="0054405F">
      <w:pPr>
        <w:ind w:firstLine="708"/>
        <w:jc w:val="both"/>
        <w:rPr>
          <w:rFonts w:ascii="Calibri" w:hAnsi="Calibri" w:cs="Calibri"/>
        </w:rPr>
      </w:pPr>
      <w:r w:rsidRPr="000719DD">
        <w:rPr>
          <w:rFonts w:ascii="Calibri" w:hAnsi="Calibri" w:cs="Calibri"/>
        </w:rPr>
        <w:t xml:space="preserve">Para a execução de </w:t>
      </w:r>
      <w:r w:rsidR="002433CC" w:rsidRPr="000719DD">
        <w:rPr>
          <w:rFonts w:ascii="Calibri" w:hAnsi="Calibri" w:cs="Calibri"/>
        </w:rPr>
        <w:t xml:space="preserve">um </w:t>
      </w:r>
      <w:r w:rsidRPr="000719DD">
        <w:rPr>
          <w:rFonts w:ascii="Calibri" w:hAnsi="Calibri" w:cs="Calibri"/>
        </w:rPr>
        <w:t xml:space="preserve">plano de tratamento inteligente e eficaz, que leve em consideração todas as individualidades e necessidades de cada paciente, faz-se necessário e antes de qualquer coisa, um diagnóstico correto. </w:t>
      </w:r>
      <w:r w:rsidR="002433CC" w:rsidRPr="000719DD">
        <w:rPr>
          <w:rFonts w:ascii="Calibri" w:hAnsi="Calibri" w:cs="Calibri"/>
        </w:rPr>
        <w:t>Em associação a um plano de tratamento bem definido e executado, o paciente deve estar comprometido, bem orientado e motivado para que consiga manter uma boa higiene oral após adequação do meio bucal</w:t>
      </w:r>
      <w:r w:rsidR="00F20BA4">
        <w:rPr>
          <w:rFonts w:ascii="Calibri" w:hAnsi="Calibri" w:cs="Calibri"/>
        </w:rPr>
        <w:t xml:space="preserve"> </w:t>
      </w:r>
      <w:r w:rsidR="00F20BA4" w:rsidRPr="000719DD">
        <w:rPr>
          <w:rFonts w:ascii="Calibri" w:hAnsi="Calibri" w:cs="Calibri"/>
        </w:rPr>
        <w:t>(CARRANZA</w:t>
      </w:r>
      <w:r w:rsidR="00F20BA4">
        <w:rPr>
          <w:rFonts w:ascii="Calibri" w:hAnsi="Calibri" w:cs="Calibri"/>
        </w:rPr>
        <w:t xml:space="preserve"> et al</w:t>
      </w:r>
      <w:r w:rsidR="00F20BA4" w:rsidRPr="000719DD">
        <w:rPr>
          <w:rFonts w:ascii="Calibri" w:hAnsi="Calibri" w:cs="Calibri"/>
        </w:rPr>
        <w:t>, 2016)</w:t>
      </w:r>
      <w:r w:rsidR="00F20BA4">
        <w:rPr>
          <w:rFonts w:ascii="Calibri" w:hAnsi="Calibri" w:cs="Calibri"/>
        </w:rPr>
        <w:t xml:space="preserve">. </w:t>
      </w:r>
    </w:p>
    <w:p w:rsidR="005956DA" w:rsidRPr="000719DD" w:rsidRDefault="005956DA" w:rsidP="0054405F">
      <w:pPr>
        <w:jc w:val="both"/>
        <w:rPr>
          <w:rFonts w:ascii="Calibri" w:hAnsi="Calibri" w:cs="Calibri"/>
        </w:rPr>
      </w:pPr>
      <w:r w:rsidRPr="000719DD">
        <w:rPr>
          <w:rFonts w:ascii="Calibri" w:hAnsi="Calibri" w:cs="Calibri"/>
        </w:rPr>
        <w:tab/>
        <w:t xml:space="preserve">O diagnóstico </w:t>
      </w:r>
      <w:r w:rsidR="002433CC" w:rsidRPr="000719DD">
        <w:rPr>
          <w:rFonts w:ascii="Calibri" w:hAnsi="Calibri" w:cs="Calibri"/>
        </w:rPr>
        <w:t xml:space="preserve">então, </w:t>
      </w:r>
      <w:r w:rsidRPr="000719DD">
        <w:rPr>
          <w:rFonts w:ascii="Calibri" w:hAnsi="Calibri" w:cs="Calibri"/>
        </w:rPr>
        <w:t>se baseia na investigação do passado e presente do paciente, ou seja</w:t>
      </w:r>
      <w:r w:rsidR="00AE69E7">
        <w:rPr>
          <w:rFonts w:ascii="Calibri" w:hAnsi="Calibri" w:cs="Calibri"/>
        </w:rPr>
        <w:t>:</w:t>
      </w:r>
      <w:r w:rsidRPr="000719DD">
        <w:rPr>
          <w:rFonts w:ascii="Calibri" w:hAnsi="Calibri" w:cs="Calibri"/>
        </w:rPr>
        <w:t xml:space="preserve"> na obtenção de informações relatadas na anamnese em associação com exame clínico. Na anamnese, devem ser obtidas informações sobre histórico médico (condições sistêmicas</w:t>
      </w:r>
      <w:r w:rsidR="00AE69E7">
        <w:rPr>
          <w:rFonts w:ascii="Calibri" w:hAnsi="Calibri" w:cs="Calibri"/>
        </w:rPr>
        <w:t xml:space="preserve">: </w:t>
      </w:r>
      <w:r w:rsidRPr="000719DD">
        <w:rPr>
          <w:rFonts w:ascii="Calibri" w:hAnsi="Calibri" w:cs="Calibri"/>
        </w:rPr>
        <w:t xml:space="preserve">cardíacas, hematológicas, infecciosas </w:t>
      </w:r>
      <w:proofErr w:type="spellStart"/>
      <w:r w:rsidRPr="000719DD">
        <w:rPr>
          <w:rFonts w:ascii="Calibri" w:hAnsi="Calibri" w:cs="Calibri"/>
        </w:rPr>
        <w:t>e</w:t>
      </w:r>
      <w:r w:rsidR="00AE69E7">
        <w:rPr>
          <w:rFonts w:ascii="Calibri" w:hAnsi="Calibri" w:cs="Calibri"/>
        </w:rPr>
        <w:t>tc</w:t>
      </w:r>
      <w:proofErr w:type="spellEnd"/>
      <w:r w:rsidR="00AE69E7">
        <w:rPr>
          <w:rFonts w:ascii="Calibri" w:hAnsi="Calibri" w:cs="Calibri"/>
        </w:rPr>
        <w:t xml:space="preserve">, </w:t>
      </w:r>
      <w:r w:rsidRPr="000719DD">
        <w:rPr>
          <w:rFonts w:ascii="Calibri" w:hAnsi="Calibri" w:cs="Calibri"/>
        </w:rPr>
        <w:t xml:space="preserve"> medicações utilizadas com </w:t>
      </w:r>
      <w:r w:rsidR="00FA2010" w:rsidRPr="000719DD">
        <w:rPr>
          <w:rFonts w:ascii="Calibri" w:hAnsi="Calibri" w:cs="Calibri"/>
        </w:rPr>
        <w:t>e</w:t>
      </w:r>
      <w:r w:rsidRPr="000719DD">
        <w:rPr>
          <w:rFonts w:ascii="Calibri" w:hAnsi="Calibri" w:cs="Calibri"/>
        </w:rPr>
        <w:t xml:space="preserve"> sem prescrição, quadros de complicações, alergias</w:t>
      </w:r>
      <w:r w:rsidR="00AE69E7">
        <w:rPr>
          <w:rFonts w:ascii="Calibri" w:hAnsi="Calibri" w:cs="Calibri"/>
        </w:rPr>
        <w:t xml:space="preserve"> e outras</w:t>
      </w:r>
      <w:r w:rsidRPr="000719DD">
        <w:rPr>
          <w:rFonts w:ascii="Calibri" w:hAnsi="Calibri" w:cs="Calibri"/>
        </w:rPr>
        <w:t xml:space="preserve">) e </w:t>
      </w:r>
      <w:r w:rsidR="00FA2010" w:rsidRPr="000719DD">
        <w:rPr>
          <w:rFonts w:ascii="Calibri" w:hAnsi="Calibri" w:cs="Calibri"/>
        </w:rPr>
        <w:t xml:space="preserve">histórico </w:t>
      </w:r>
      <w:r w:rsidRPr="000719DD">
        <w:rPr>
          <w:rFonts w:ascii="Calibri" w:hAnsi="Calibri" w:cs="Calibri"/>
        </w:rPr>
        <w:t>odontológico (traumas, tratamentos odontológicos prévios bem como outras doenças e infecções da cavidade oral, sinais e sintomas percebidos e há quanto tempo, hábitos de higiene</w:t>
      </w:r>
      <w:r w:rsidR="00AE69E7">
        <w:rPr>
          <w:rFonts w:ascii="Calibri" w:hAnsi="Calibri" w:cs="Calibri"/>
        </w:rPr>
        <w:t>,</w:t>
      </w:r>
      <w:r w:rsidRPr="000719DD">
        <w:rPr>
          <w:rFonts w:ascii="Calibri" w:hAnsi="Calibri" w:cs="Calibri"/>
        </w:rPr>
        <w:t xml:space="preserve"> </w:t>
      </w:r>
      <w:proofErr w:type="spellStart"/>
      <w:r w:rsidRPr="000719DD">
        <w:rPr>
          <w:rFonts w:ascii="Calibri" w:hAnsi="Calibri" w:cs="Calibri"/>
        </w:rPr>
        <w:t>etc</w:t>
      </w:r>
      <w:proofErr w:type="spellEnd"/>
      <w:r w:rsidRPr="000719DD">
        <w:rPr>
          <w:rFonts w:ascii="Calibri" w:hAnsi="Calibri" w:cs="Calibri"/>
        </w:rPr>
        <w:t>)</w:t>
      </w:r>
      <w:r w:rsidR="00AE69E7">
        <w:rPr>
          <w:rFonts w:ascii="Calibri" w:hAnsi="Calibri" w:cs="Calibri"/>
        </w:rPr>
        <w:t>,</w:t>
      </w:r>
      <w:r w:rsidRPr="000719DD">
        <w:rPr>
          <w:rFonts w:ascii="Calibri" w:hAnsi="Calibri" w:cs="Calibri"/>
        </w:rPr>
        <w:t xml:space="preserve"> </w:t>
      </w:r>
      <w:r w:rsidR="0054405F" w:rsidRPr="000719DD">
        <w:rPr>
          <w:rFonts w:ascii="Calibri" w:hAnsi="Calibri" w:cs="Calibri"/>
        </w:rPr>
        <w:t xml:space="preserve">além de </w:t>
      </w:r>
      <w:r w:rsidRPr="000719DD">
        <w:rPr>
          <w:rFonts w:ascii="Calibri" w:hAnsi="Calibri" w:cs="Calibri"/>
        </w:rPr>
        <w:t>informações atualizadas sobre esses tópicos.</w:t>
      </w:r>
      <w:r w:rsidR="0054405F" w:rsidRPr="000719DD">
        <w:rPr>
          <w:rFonts w:ascii="Calibri" w:hAnsi="Calibri" w:cs="Calibri"/>
        </w:rPr>
        <w:t xml:space="preserve"> O paciente deve ser informado sobre a importância da não omissão de fatos</w:t>
      </w:r>
      <w:r w:rsidR="00FA2010" w:rsidRPr="000719DD">
        <w:rPr>
          <w:rFonts w:ascii="Calibri" w:hAnsi="Calibri" w:cs="Calibri"/>
        </w:rPr>
        <w:t xml:space="preserve"> sobre sua saúde</w:t>
      </w:r>
      <w:r w:rsidR="0054405F" w:rsidRPr="000719DD">
        <w:rPr>
          <w:rFonts w:ascii="Calibri" w:hAnsi="Calibri" w:cs="Calibri"/>
        </w:rPr>
        <w:t>, mesmo que ele não consiga ver relação de tal fato com a saúde oral, para ajudar na obtenção do melhor planejamento possível</w:t>
      </w:r>
      <w:r w:rsidR="00F20BA4">
        <w:rPr>
          <w:rFonts w:ascii="Calibri" w:hAnsi="Calibri" w:cs="Calibri"/>
        </w:rPr>
        <w:t xml:space="preserve"> </w:t>
      </w:r>
      <w:r w:rsidR="00F20BA4" w:rsidRPr="000719DD">
        <w:rPr>
          <w:rFonts w:ascii="Calibri" w:hAnsi="Calibri" w:cs="Calibri"/>
        </w:rPr>
        <w:t>(LINDHE</w:t>
      </w:r>
      <w:r w:rsidR="00F20BA4">
        <w:rPr>
          <w:rFonts w:ascii="Calibri" w:hAnsi="Calibri" w:cs="Calibri"/>
        </w:rPr>
        <w:t xml:space="preserve"> et al</w:t>
      </w:r>
      <w:r w:rsidR="00F20BA4" w:rsidRPr="000719DD">
        <w:rPr>
          <w:rFonts w:ascii="Calibri" w:hAnsi="Calibri" w:cs="Calibri"/>
        </w:rPr>
        <w:t>, 20</w:t>
      </w:r>
      <w:r w:rsidR="00F20BA4">
        <w:rPr>
          <w:rFonts w:ascii="Calibri" w:hAnsi="Calibri" w:cs="Calibri"/>
        </w:rPr>
        <w:t>18</w:t>
      </w:r>
      <w:r w:rsidR="00F20BA4" w:rsidRPr="000719DD">
        <w:rPr>
          <w:rFonts w:ascii="Calibri" w:hAnsi="Calibri" w:cs="Calibri"/>
        </w:rPr>
        <w:t>)</w:t>
      </w:r>
      <w:r w:rsidR="00F20BA4">
        <w:rPr>
          <w:rFonts w:ascii="Calibri" w:hAnsi="Calibri" w:cs="Calibri"/>
        </w:rPr>
        <w:t>.</w:t>
      </w:r>
    </w:p>
    <w:p w:rsidR="002433CC" w:rsidRPr="000719DD" w:rsidRDefault="002433CC" w:rsidP="002433CC">
      <w:pPr>
        <w:ind w:firstLine="708"/>
        <w:jc w:val="both"/>
        <w:rPr>
          <w:rFonts w:ascii="Calibri" w:hAnsi="Calibri" w:cs="Calibri"/>
        </w:rPr>
      </w:pPr>
      <w:r w:rsidRPr="000719DD">
        <w:rPr>
          <w:rFonts w:ascii="Calibri" w:hAnsi="Calibri" w:cs="Calibri"/>
        </w:rPr>
        <w:t xml:space="preserve">Seguindo o fluxo de atendimento, </w:t>
      </w:r>
      <w:r w:rsidR="00AE69E7">
        <w:rPr>
          <w:rFonts w:ascii="Calibri" w:hAnsi="Calibri" w:cs="Calibri"/>
        </w:rPr>
        <w:t xml:space="preserve">também auxiliam no diagnóstico periodontal: </w:t>
      </w:r>
      <w:r w:rsidRPr="000719DD">
        <w:rPr>
          <w:rFonts w:ascii="Calibri" w:hAnsi="Calibri" w:cs="Calibri"/>
        </w:rPr>
        <w:t>exames</w:t>
      </w:r>
      <w:r w:rsidR="00A75C58">
        <w:rPr>
          <w:rFonts w:ascii="Calibri" w:hAnsi="Calibri" w:cs="Calibri"/>
        </w:rPr>
        <w:t xml:space="preserve"> clínicos:</w:t>
      </w:r>
      <w:r w:rsidRPr="000719DD">
        <w:rPr>
          <w:rFonts w:ascii="Calibri" w:hAnsi="Calibri" w:cs="Calibri"/>
        </w:rPr>
        <w:t xml:space="preserve"> tátil</w:t>
      </w:r>
      <w:r w:rsidR="00F9563C">
        <w:rPr>
          <w:rFonts w:ascii="Calibri" w:hAnsi="Calibri" w:cs="Calibri"/>
        </w:rPr>
        <w:t>/</w:t>
      </w:r>
      <w:r w:rsidRPr="000719DD">
        <w:rPr>
          <w:rFonts w:ascii="Calibri" w:hAnsi="Calibri" w:cs="Calibri"/>
        </w:rPr>
        <w:t xml:space="preserve">visual, índice de sangramento, PSR e </w:t>
      </w:r>
      <w:proofErr w:type="spellStart"/>
      <w:r w:rsidRPr="000719DD">
        <w:rPr>
          <w:rFonts w:ascii="Calibri" w:hAnsi="Calibri" w:cs="Calibri"/>
        </w:rPr>
        <w:t>periograma</w:t>
      </w:r>
      <w:proofErr w:type="spellEnd"/>
      <w:r w:rsidR="00A75C58">
        <w:rPr>
          <w:rFonts w:ascii="Calibri" w:hAnsi="Calibri" w:cs="Calibri"/>
        </w:rPr>
        <w:t>, além de radiográficos</w:t>
      </w:r>
      <w:r w:rsidR="00AE69E7">
        <w:rPr>
          <w:rFonts w:ascii="Calibri" w:hAnsi="Calibri" w:cs="Calibri"/>
        </w:rPr>
        <w:t xml:space="preserve">. </w:t>
      </w:r>
      <w:r w:rsidRPr="000719DD">
        <w:rPr>
          <w:rFonts w:ascii="Calibri" w:hAnsi="Calibri" w:cs="Calibri"/>
        </w:rPr>
        <w:t>Este diagnóstico deve primeiro determinar se a doença está presente; e então identificar seu tipo, extensão, distribuição e gravidade; e finalmente proporcionar um entendimento dos processos patológicos subjacentes e suas causas</w:t>
      </w:r>
      <w:r w:rsidR="00F20BA4" w:rsidRPr="00F20BA4">
        <w:rPr>
          <w:rFonts w:ascii="Calibri" w:hAnsi="Calibri" w:cs="Calibri"/>
        </w:rPr>
        <w:t xml:space="preserve"> </w:t>
      </w:r>
      <w:r w:rsidR="00F20BA4" w:rsidRPr="000719DD">
        <w:rPr>
          <w:rFonts w:ascii="Calibri" w:hAnsi="Calibri" w:cs="Calibri"/>
        </w:rPr>
        <w:t>(CARRANZA</w:t>
      </w:r>
      <w:r w:rsidR="00F20BA4">
        <w:rPr>
          <w:rFonts w:ascii="Calibri" w:hAnsi="Calibri" w:cs="Calibri"/>
        </w:rPr>
        <w:t xml:space="preserve"> et al</w:t>
      </w:r>
      <w:r w:rsidR="00F20BA4" w:rsidRPr="000719DD">
        <w:rPr>
          <w:rFonts w:ascii="Calibri" w:hAnsi="Calibri" w:cs="Calibri"/>
        </w:rPr>
        <w:t>, 2016)</w:t>
      </w:r>
      <w:r w:rsidR="00F20BA4">
        <w:rPr>
          <w:rFonts w:ascii="Calibri" w:hAnsi="Calibri" w:cs="Calibri"/>
        </w:rPr>
        <w:t>.</w:t>
      </w:r>
    </w:p>
    <w:p w:rsidR="002D37F2" w:rsidRPr="000719DD" w:rsidRDefault="002433CC" w:rsidP="0054405F">
      <w:pPr>
        <w:ind w:firstLine="708"/>
        <w:jc w:val="both"/>
        <w:rPr>
          <w:rFonts w:ascii="Calibri" w:hAnsi="Calibri" w:cs="Calibri"/>
        </w:rPr>
      </w:pPr>
      <w:r w:rsidRPr="000719DD">
        <w:rPr>
          <w:rFonts w:ascii="Calibri" w:hAnsi="Calibri" w:cs="Calibri"/>
        </w:rPr>
        <w:t>Sendo assim, inicialmente devemos</w:t>
      </w:r>
      <w:r w:rsidR="002D37F2" w:rsidRPr="000719DD">
        <w:rPr>
          <w:rFonts w:ascii="Calibri" w:hAnsi="Calibri" w:cs="Calibri"/>
        </w:rPr>
        <w:t xml:space="preserve"> verificar se o paciente apresenta alguma urgência periodontal, como lesões agudas (abscesso periodontal e/ou doenças periodontais </w:t>
      </w:r>
      <w:proofErr w:type="spellStart"/>
      <w:r w:rsidR="002D37F2" w:rsidRPr="000719DD">
        <w:rPr>
          <w:rFonts w:ascii="Calibri" w:hAnsi="Calibri" w:cs="Calibri"/>
        </w:rPr>
        <w:t>necrosantes</w:t>
      </w:r>
      <w:proofErr w:type="spellEnd"/>
      <w:r w:rsidR="002D37F2" w:rsidRPr="000719DD">
        <w:rPr>
          <w:rFonts w:ascii="Calibri" w:hAnsi="Calibri" w:cs="Calibri"/>
        </w:rPr>
        <w:t>) ou ainda</w:t>
      </w:r>
      <w:r w:rsidR="00AE69E7">
        <w:rPr>
          <w:rFonts w:ascii="Calibri" w:hAnsi="Calibri" w:cs="Calibri"/>
        </w:rPr>
        <w:t>,</w:t>
      </w:r>
      <w:r w:rsidR="002D37F2" w:rsidRPr="000719DD">
        <w:rPr>
          <w:rFonts w:ascii="Calibri" w:hAnsi="Calibri" w:cs="Calibri"/>
        </w:rPr>
        <w:t xml:space="preserve"> alguma lesão </w:t>
      </w:r>
      <w:proofErr w:type="spellStart"/>
      <w:r w:rsidR="002D37F2" w:rsidRPr="000719DD">
        <w:rPr>
          <w:rFonts w:ascii="Calibri" w:hAnsi="Calibri" w:cs="Calibri"/>
        </w:rPr>
        <w:t>endo</w:t>
      </w:r>
      <w:proofErr w:type="spellEnd"/>
      <w:r w:rsidR="002D37F2" w:rsidRPr="000719DD">
        <w:rPr>
          <w:rFonts w:ascii="Calibri" w:hAnsi="Calibri" w:cs="Calibri"/>
        </w:rPr>
        <w:t>-periodontal.</w:t>
      </w:r>
      <w:r w:rsidR="003021DF" w:rsidRPr="000719DD">
        <w:rPr>
          <w:rFonts w:ascii="Calibri" w:hAnsi="Calibri" w:cs="Calibri"/>
        </w:rPr>
        <w:t xml:space="preserve"> Diferentes fatores podem estar associados a estas condições</w:t>
      </w:r>
      <w:r w:rsidR="004C337A" w:rsidRPr="000719DD">
        <w:rPr>
          <w:rFonts w:ascii="Calibri" w:hAnsi="Calibri" w:cs="Calibri"/>
        </w:rPr>
        <w:t>; elas apresentam sintomas claros</w:t>
      </w:r>
      <w:r w:rsidR="003021DF" w:rsidRPr="000719DD">
        <w:rPr>
          <w:rFonts w:ascii="Calibri" w:hAnsi="Calibri" w:cs="Calibri"/>
        </w:rPr>
        <w:t xml:space="preserve"> e</w:t>
      </w:r>
      <w:r w:rsidR="004C337A" w:rsidRPr="000719DD">
        <w:rPr>
          <w:rFonts w:ascii="Calibri" w:hAnsi="Calibri" w:cs="Calibri"/>
        </w:rPr>
        <w:t xml:space="preserve"> representam cerca de 7,7% a 14% de todas as emergências dentais. São</w:t>
      </w:r>
      <w:r w:rsidR="002D37F2" w:rsidRPr="000719DD">
        <w:rPr>
          <w:rFonts w:ascii="Calibri" w:hAnsi="Calibri" w:cs="Calibri"/>
        </w:rPr>
        <w:t xml:space="preserve"> situações que causam dor e desconforto, além de rápida destruição tecidual e devem receber pronto diagnóstico e tratamento</w:t>
      </w:r>
      <w:r w:rsidR="00F20BA4">
        <w:rPr>
          <w:rFonts w:ascii="Calibri" w:hAnsi="Calibri" w:cs="Calibri"/>
        </w:rPr>
        <w:t xml:space="preserve"> (</w:t>
      </w:r>
      <w:r w:rsidR="00F20BA4" w:rsidRPr="000719DD">
        <w:rPr>
          <w:rFonts w:ascii="Calibri" w:hAnsi="Calibri" w:cs="Calibri"/>
        </w:rPr>
        <w:t>HERRERA</w:t>
      </w:r>
      <w:r w:rsidR="00F20BA4">
        <w:rPr>
          <w:rFonts w:ascii="Calibri" w:hAnsi="Calibri" w:cs="Calibri"/>
        </w:rPr>
        <w:t xml:space="preserve"> et al., </w:t>
      </w:r>
      <w:r w:rsidR="00F20BA4" w:rsidRPr="000719DD">
        <w:rPr>
          <w:rFonts w:ascii="Calibri" w:hAnsi="Calibri" w:cs="Calibri"/>
        </w:rPr>
        <w:t>2018)</w:t>
      </w:r>
      <w:r w:rsidR="00F20BA4">
        <w:rPr>
          <w:rFonts w:ascii="Calibri" w:hAnsi="Calibri" w:cs="Calibri"/>
        </w:rPr>
        <w:t>.</w:t>
      </w:r>
    </w:p>
    <w:p w:rsidR="00A055AC" w:rsidRPr="000719DD" w:rsidRDefault="00546BBE" w:rsidP="007017D4">
      <w:pPr>
        <w:ind w:firstLine="708"/>
        <w:jc w:val="both"/>
        <w:rPr>
          <w:rFonts w:ascii="Calibri" w:hAnsi="Calibri" w:cs="Calibri"/>
        </w:rPr>
      </w:pPr>
      <w:r w:rsidRPr="000719DD">
        <w:rPr>
          <w:rFonts w:ascii="Calibri" w:hAnsi="Calibri" w:cs="Calibri"/>
        </w:rPr>
        <w:t xml:space="preserve">Segundo a classificação estabelecida no Workshop de 2017, </w:t>
      </w:r>
      <w:r w:rsidR="007017D4">
        <w:rPr>
          <w:rFonts w:ascii="Calibri" w:hAnsi="Calibri" w:cs="Calibri"/>
        </w:rPr>
        <w:t xml:space="preserve">temos alguns tipos de </w:t>
      </w:r>
      <w:r w:rsidR="00A055AC" w:rsidRPr="000719DD">
        <w:rPr>
          <w:rFonts w:ascii="Calibri" w:hAnsi="Calibri" w:cs="Calibri"/>
        </w:rPr>
        <w:t>gengivite</w:t>
      </w:r>
      <w:r w:rsidR="007017D4">
        <w:rPr>
          <w:rFonts w:ascii="Calibri" w:hAnsi="Calibri" w:cs="Calibri"/>
        </w:rPr>
        <w:t xml:space="preserve">s: </w:t>
      </w:r>
      <w:r w:rsidR="00A055AC" w:rsidRPr="000719DD">
        <w:rPr>
          <w:rFonts w:ascii="Calibri" w:hAnsi="Calibri" w:cs="Calibri"/>
        </w:rPr>
        <w:t>induzida por placa</w:t>
      </w:r>
      <w:r w:rsidR="002D37F2" w:rsidRPr="000719DD">
        <w:rPr>
          <w:rFonts w:ascii="Calibri" w:hAnsi="Calibri" w:cs="Calibri"/>
        </w:rPr>
        <w:t>, que pode apresentar</w:t>
      </w:r>
      <w:r w:rsidR="00A055AC" w:rsidRPr="000719DD">
        <w:rPr>
          <w:rFonts w:ascii="Calibri" w:hAnsi="Calibri" w:cs="Calibri"/>
        </w:rPr>
        <w:t xml:space="preserve"> fatores modificadores atuando</w:t>
      </w:r>
      <w:r w:rsidR="002D37F2" w:rsidRPr="000719DD">
        <w:rPr>
          <w:rFonts w:ascii="Calibri" w:hAnsi="Calibri" w:cs="Calibri"/>
        </w:rPr>
        <w:t xml:space="preserve"> na condição</w:t>
      </w:r>
      <w:r w:rsidR="00A055AC" w:rsidRPr="000719DD">
        <w:rPr>
          <w:rFonts w:ascii="Calibri" w:hAnsi="Calibri" w:cs="Calibri"/>
        </w:rPr>
        <w:t xml:space="preserve"> ou não</w:t>
      </w:r>
      <w:r w:rsidR="007017D4">
        <w:rPr>
          <w:rFonts w:ascii="Calibri" w:hAnsi="Calibri" w:cs="Calibri"/>
        </w:rPr>
        <w:t>;</w:t>
      </w:r>
      <w:r w:rsidR="00A055AC" w:rsidRPr="000719DD">
        <w:rPr>
          <w:rFonts w:ascii="Calibri" w:hAnsi="Calibri" w:cs="Calibri"/>
        </w:rPr>
        <w:t xml:space="preserve"> gengivite induzida por placa exacerbada por condições sistêmicas ou por condições orais</w:t>
      </w:r>
      <w:r w:rsidR="00F20BA4">
        <w:rPr>
          <w:rFonts w:ascii="Calibri" w:hAnsi="Calibri" w:cs="Calibri"/>
        </w:rPr>
        <w:t xml:space="preserve"> </w:t>
      </w:r>
      <w:r w:rsidR="00F20BA4" w:rsidRPr="00AC4990">
        <w:rPr>
          <w:rFonts w:ascii="Calibri" w:hAnsi="Calibri" w:cs="Calibri"/>
          <w:color w:val="000000" w:themeColor="text1"/>
        </w:rPr>
        <w:t>(</w:t>
      </w:r>
      <w:r w:rsidR="00F20BA4" w:rsidRPr="00F20BA4">
        <w:rPr>
          <w:rFonts w:ascii="Calibri" w:hAnsi="Calibri" w:cs="Calibri"/>
          <w:color w:val="000000" w:themeColor="text1"/>
          <w:shd w:val="clear" w:color="auto" w:fill="FFFFFF"/>
        </w:rPr>
        <w:t>MURAKAMI et al., 2018</w:t>
      </w:r>
      <w:r w:rsidR="00F20BA4" w:rsidRPr="00AC4990">
        <w:rPr>
          <w:rFonts w:ascii="Calibri" w:hAnsi="Calibri" w:cs="Calibri"/>
          <w:color w:val="000000" w:themeColor="text1"/>
        </w:rPr>
        <w:t xml:space="preserve">).  </w:t>
      </w:r>
      <w:r w:rsidR="007017D4">
        <w:rPr>
          <w:rFonts w:ascii="Calibri" w:hAnsi="Calibri" w:cs="Calibri"/>
        </w:rPr>
        <w:t xml:space="preserve">Eles também listam </w:t>
      </w:r>
      <w:r w:rsidR="00A055AC" w:rsidRPr="000719DD">
        <w:rPr>
          <w:rFonts w:ascii="Calibri" w:hAnsi="Calibri" w:cs="Calibri"/>
        </w:rPr>
        <w:t>condições gengivais não induzidas por placa dental (por infecções específicas bacterianas, virais; lesões inflamatórias e imunológicas</w:t>
      </w:r>
      <w:r w:rsidR="002D37F2" w:rsidRPr="000719DD">
        <w:rPr>
          <w:rFonts w:ascii="Calibri" w:hAnsi="Calibri" w:cs="Calibri"/>
        </w:rPr>
        <w:t xml:space="preserve">, processos reativos, neoplasias pré-malignas e malignas, além de lesões traumáticas e pigmentações gengivais) </w:t>
      </w:r>
      <w:r w:rsidR="00A055AC" w:rsidRPr="000719DD">
        <w:rPr>
          <w:rFonts w:ascii="Calibri" w:hAnsi="Calibri" w:cs="Calibri"/>
        </w:rPr>
        <w:t xml:space="preserve"> que podem ser identificadas no </w:t>
      </w:r>
      <w:r w:rsidR="00FA2010" w:rsidRPr="000719DD">
        <w:rPr>
          <w:rFonts w:ascii="Calibri" w:hAnsi="Calibri" w:cs="Calibri"/>
        </w:rPr>
        <w:t>exame</w:t>
      </w:r>
      <w:r w:rsidR="00A055AC" w:rsidRPr="000719DD">
        <w:rPr>
          <w:rFonts w:ascii="Calibri" w:hAnsi="Calibri" w:cs="Calibri"/>
        </w:rPr>
        <w:t xml:space="preserve"> inicial</w:t>
      </w:r>
      <w:r w:rsidR="00F20BA4">
        <w:rPr>
          <w:rFonts w:ascii="Calibri" w:hAnsi="Calibri" w:cs="Calibri"/>
        </w:rPr>
        <w:t xml:space="preserve"> </w:t>
      </w:r>
      <w:r w:rsidR="00F20BA4" w:rsidRPr="00AC4990">
        <w:rPr>
          <w:rFonts w:ascii="Calibri" w:hAnsi="Calibri" w:cs="Calibri"/>
          <w:color w:val="000000" w:themeColor="text1"/>
        </w:rPr>
        <w:t>(</w:t>
      </w:r>
      <w:r w:rsidR="00F20BA4" w:rsidRPr="00AC4990">
        <w:rPr>
          <w:rFonts w:ascii="Calibri" w:hAnsi="Calibri" w:cs="Calibri"/>
          <w:color w:val="000000" w:themeColor="text1"/>
          <w:shd w:val="clear" w:color="auto" w:fill="FFFFFF"/>
        </w:rPr>
        <w:t>HOLMSTRUP</w:t>
      </w:r>
      <w:r w:rsidR="00F20BA4" w:rsidRPr="00AC4990">
        <w:rPr>
          <w:rFonts w:ascii="Calibri" w:hAnsi="Calibri" w:cs="Calibri"/>
          <w:color w:val="000000" w:themeColor="text1"/>
        </w:rPr>
        <w:t xml:space="preserve"> et al., 2018).</w:t>
      </w:r>
    </w:p>
    <w:p w:rsidR="002433CC" w:rsidRPr="000719DD" w:rsidRDefault="00A75C58" w:rsidP="007017D4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 </w:t>
      </w:r>
      <w:r w:rsidR="00B26926">
        <w:rPr>
          <w:rFonts w:ascii="Calibri" w:hAnsi="Calibri" w:cs="Calibri"/>
        </w:rPr>
        <w:t xml:space="preserve">artigo publicado referente ao </w:t>
      </w:r>
      <w:r w:rsidR="00FA2010" w:rsidRPr="000719DD">
        <w:rPr>
          <w:rFonts w:ascii="Calibri" w:hAnsi="Calibri" w:cs="Calibri"/>
        </w:rPr>
        <w:t>mesmo Workshop de 2017</w:t>
      </w:r>
      <w:r w:rsidR="004C337A" w:rsidRPr="000719DD">
        <w:rPr>
          <w:rFonts w:ascii="Calibri" w:hAnsi="Calibri" w:cs="Calibri"/>
        </w:rPr>
        <w:t xml:space="preserve">, </w:t>
      </w:r>
      <w:r w:rsidR="00FA2010" w:rsidRPr="000719DD">
        <w:rPr>
          <w:rFonts w:ascii="Calibri" w:hAnsi="Calibri" w:cs="Calibri"/>
        </w:rPr>
        <w:t xml:space="preserve">também </w:t>
      </w:r>
      <w:r w:rsidR="004C337A" w:rsidRPr="000719DD">
        <w:rPr>
          <w:rFonts w:ascii="Calibri" w:hAnsi="Calibri" w:cs="Calibri"/>
        </w:rPr>
        <w:t>relata uma nova forma de classificação da periodontite, por estágio de severidade  (I, II, III, IV) e grau de evolução (A, B e C). Essa abordagem foi proposta por oferecer uma oportunidade de direcionarmos o tratamento e melhor comunicação entre profissionais</w:t>
      </w:r>
      <w:r w:rsidR="00F20BA4">
        <w:rPr>
          <w:rFonts w:ascii="Calibri" w:hAnsi="Calibri" w:cs="Calibri"/>
        </w:rPr>
        <w:t xml:space="preserve"> (PAPANOU et al., 2018). </w:t>
      </w:r>
      <w:r w:rsidR="004C337A" w:rsidRPr="000719DD">
        <w:rPr>
          <w:rFonts w:ascii="Calibri" w:hAnsi="Calibri" w:cs="Calibri"/>
        </w:rPr>
        <w:t xml:space="preserve">Também, é possível nos depararmos com </w:t>
      </w:r>
      <w:r w:rsidR="00B34D64" w:rsidRPr="000719DD">
        <w:rPr>
          <w:rFonts w:ascii="Calibri" w:hAnsi="Calibri" w:cs="Calibri"/>
        </w:rPr>
        <w:t xml:space="preserve">manifestações periodontais de condições sistêmicas, adquiridas e de desenvolvimento. Como por </w:t>
      </w:r>
      <w:r w:rsidR="00B34D64" w:rsidRPr="000719DD">
        <w:rPr>
          <w:rFonts w:ascii="Calibri" w:hAnsi="Calibri" w:cs="Calibri"/>
        </w:rPr>
        <w:lastRenderedPageBreak/>
        <w:t>exemplo</w:t>
      </w:r>
      <w:r w:rsidR="00C920B6">
        <w:rPr>
          <w:rFonts w:ascii="Calibri" w:hAnsi="Calibri" w:cs="Calibri"/>
        </w:rPr>
        <w:t>:</w:t>
      </w:r>
      <w:r w:rsidR="00B34D64" w:rsidRPr="000719DD">
        <w:rPr>
          <w:rFonts w:ascii="Calibri" w:hAnsi="Calibri" w:cs="Calibri"/>
        </w:rPr>
        <w:t xml:space="preserve"> desordens que possuem impacto significativo na perda dos tecidos periodontais, influenciando a inflamação periodontal (desordens genéticas, imunodeficiências primárias e adquiridas) e como também diabetes, obesidade, osteoporose </w:t>
      </w:r>
      <w:proofErr w:type="spellStart"/>
      <w:r w:rsidR="00B34D64" w:rsidRPr="000719DD">
        <w:rPr>
          <w:rFonts w:ascii="Calibri" w:hAnsi="Calibri" w:cs="Calibri"/>
        </w:rPr>
        <w:t>etc</w:t>
      </w:r>
      <w:proofErr w:type="spellEnd"/>
      <w:r w:rsidR="00B34D64" w:rsidRPr="000719DD">
        <w:rPr>
          <w:rFonts w:ascii="Calibri" w:hAnsi="Calibri" w:cs="Calibri"/>
        </w:rPr>
        <w:t>, que influenciam na patogênese das doenças periodontais</w:t>
      </w:r>
      <w:r w:rsidR="00F20BA4">
        <w:rPr>
          <w:rFonts w:ascii="Calibri" w:hAnsi="Calibri" w:cs="Calibri"/>
        </w:rPr>
        <w:t xml:space="preserve"> </w:t>
      </w:r>
      <w:r w:rsidR="00F20BA4" w:rsidRPr="000719DD">
        <w:rPr>
          <w:rFonts w:ascii="Calibri" w:hAnsi="Calibri" w:cs="Calibri"/>
        </w:rPr>
        <w:t>(</w:t>
      </w:r>
      <w:r w:rsidR="00F20BA4">
        <w:rPr>
          <w:rFonts w:ascii="Calibri" w:hAnsi="Calibri" w:cs="Calibri"/>
        </w:rPr>
        <w:t>ALBANDAR et al., 2018</w:t>
      </w:r>
      <w:r w:rsidR="00F20BA4" w:rsidRPr="000719DD">
        <w:rPr>
          <w:rFonts w:ascii="Calibri" w:hAnsi="Calibri" w:cs="Calibri"/>
        </w:rPr>
        <w:t>).</w:t>
      </w:r>
    </w:p>
    <w:p w:rsidR="007017D4" w:rsidRDefault="008D0DDB" w:rsidP="007017D4">
      <w:pPr>
        <w:ind w:firstLine="708"/>
        <w:jc w:val="both"/>
        <w:rPr>
          <w:rFonts w:ascii="Calibri" w:hAnsi="Calibri" w:cs="Calibri"/>
        </w:rPr>
      </w:pPr>
      <w:r w:rsidRPr="000719DD">
        <w:rPr>
          <w:rFonts w:ascii="Calibri" w:hAnsi="Calibri" w:cs="Calibri"/>
        </w:rPr>
        <w:t>Além de</w:t>
      </w:r>
      <w:r w:rsidR="00B34D64" w:rsidRPr="000719DD">
        <w:rPr>
          <w:rFonts w:ascii="Calibri" w:hAnsi="Calibri" w:cs="Calibri"/>
        </w:rPr>
        <w:t xml:space="preserve"> tudo que já foi relatado, vale ressaltar que o paciente ainda pode apresentar condições </w:t>
      </w:r>
      <w:proofErr w:type="spellStart"/>
      <w:r w:rsidR="00B34D64" w:rsidRPr="000719DD">
        <w:rPr>
          <w:rFonts w:ascii="Calibri" w:hAnsi="Calibri" w:cs="Calibri"/>
        </w:rPr>
        <w:t>mucogengivais</w:t>
      </w:r>
      <w:proofErr w:type="spellEnd"/>
      <w:r w:rsidR="00B34D64" w:rsidRPr="000719DD">
        <w:rPr>
          <w:rFonts w:ascii="Calibri" w:hAnsi="Calibri" w:cs="Calibri"/>
        </w:rPr>
        <w:t xml:space="preserve"> da dentição natural</w:t>
      </w:r>
      <w:r w:rsidR="00EC3CE9">
        <w:rPr>
          <w:rFonts w:ascii="Calibri" w:hAnsi="Calibri" w:cs="Calibri"/>
        </w:rPr>
        <w:t xml:space="preserve"> alterada</w:t>
      </w:r>
      <w:r w:rsidR="00B34D64" w:rsidRPr="000719DD">
        <w:rPr>
          <w:rFonts w:ascii="Calibri" w:hAnsi="Calibri" w:cs="Calibri"/>
        </w:rPr>
        <w:t xml:space="preserve">, bem como pode apresentar tecidos </w:t>
      </w:r>
      <w:proofErr w:type="spellStart"/>
      <w:r w:rsidR="00B34D64" w:rsidRPr="000719DD">
        <w:rPr>
          <w:rFonts w:ascii="Calibri" w:hAnsi="Calibri" w:cs="Calibri"/>
        </w:rPr>
        <w:t>mucogengivais</w:t>
      </w:r>
      <w:proofErr w:type="spellEnd"/>
      <w:r w:rsidR="00B34D64" w:rsidRPr="000719DD">
        <w:rPr>
          <w:rFonts w:ascii="Calibri" w:hAnsi="Calibri" w:cs="Calibri"/>
        </w:rPr>
        <w:t xml:space="preserve"> alterados como recessão gengival (por outros inúmeros motivos), freio proeminente ou em posição atípica, excessos gengivais, aumento da profundidade vestibular e coloração alterada. O </w:t>
      </w:r>
      <w:r w:rsidR="00C920B6">
        <w:rPr>
          <w:rFonts w:ascii="Calibri" w:hAnsi="Calibri" w:cs="Calibri"/>
        </w:rPr>
        <w:t>mesmo</w:t>
      </w:r>
      <w:r w:rsidR="00B34D64" w:rsidRPr="000719DD">
        <w:rPr>
          <w:rFonts w:ascii="Calibri" w:hAnsi="Calibri" w:cs="Calibri"/>
        </w:rPr>
        <w:t xml:space="preserve"> pode também </w:t>
      </w:r>
      <w:r w:rsidR="00FA2010" w:rsidRPr="000719DD">
        <w:rPr>
          <w:rFonts w:ascii="Calibri" w:hAnsi="Calibri" w:cs="Calibri"/>
        </w:rPr>
        <w:t xml:space="preserve">necessitar de procedimentos de outras especialidades e/ou </w:t>
      </w:r>
      <w:r w:rsidR="00B34D64" w:rsidRPr="000719DD">
        <w:rPr>
          <w:rFonts w:ascii="Calibri" w:hAnsi="Calibri" w:cs="Calibri"/>
        </w:rPr>
        <w:t xml:space="preserve">apresentar fatores anatômicos dentais modificados, fraturas radiculares, reabsorções </w:t>
      </w:r>
      <w:r w:rsidR="00FA2010" w:rsidRPr="000719DD">
        <w:rPr>
          <w:rFonts w:ascii="Calibri" w:hAnsi="Calibri" w:cs="Calibri"/>
        </w:rPr>
        <w:t>radiculares, proximidade radicular e erupção passiva alterada</w:t>
      </w:r>
      <w:r w:rsidR="00C920B6">
        <w:rPr>
          <w:rFonts w:ascii="Calibri" w:hAnsi="Calibri" w:cs="Calibri"/>
        </w:rPr>
        <w:t>,</w:t>
      </w:r>
      <w:r w:rsidR="00FA2010" w:rsidRPr="000719DD">
        <w:rPr>
          <w:rFonts w:ascii="Calibri" w:hAnsi="Calibri" w:cs="Calibri"/>
        </w:rPr>
        <w:t xml:space="preserve"> os quais podem afetar o </w:t>
      </w:r>
      <w:proofErr w:type="spellStart"/>
      <w:r w:rsidR="00FA2010" w:rsidRPr="000719DD">
        <w:rPr>
          <w:rFonts w:ascii="Calibri" w:hAnsi="Calibri" w:cs="Calibri"/>
        </w:rPr>
        <w:t>periodonto</w:t>
      </w:r>
      <w:proofErr w:type="spellEnd"/>
      <w:r w:rsidR="00FA2010" w:rsidRPr="000719DD">
        <w:rPr>
          <w:rFonts w:ascii="Calibri" w:hAnsi="Calibri" w:cs="Calibri"/>
        </w:rPr>
        <w:t xml:space="preserve"> e o planejamento da definição do tratamento periodontal</w:t>
      </w:r>
      <w:r w:rsidR="00F20BA4">
        <w:rPr>
          <w:rFonts w:ascii="Calibri" w:hAnsi="Calibri" w:cs="Calibri"/>
        </w:rPr>
        <w:t xml:space="preserve"> </w:t>
      </w:r>
      <w:r w:rsidR="00F20BA4" w:rsidRPr="000719DD">
        <w:rPr>
          <w:rFonts w:ascii="Calibri" w:hAnsi="Calibri" w:cs="Calibri"/>
        </w:rPr>
        <w:t>(CORTELLINI</w:t>
      </w:r>
      <w:r w:rsidR="00F20BA4">
        <w:rPr>
          <w:rFonts w:ascii="Calibri" w:hAnsi="Calibri" w:cs="Calibri"/>
        </w:rPr>
        <w:t xml:space="preserve"> &amp; BISSADA</w:t>
      </w:r>
      <w:r w:rsidR="00F20BA4" w:rsidRPr="000719DD">
        <w:rPr>
          <w:rFonts w:ascii="Calibri" w:hAnsi="Calibri" w:cs="Calibri"/>
        </w:rPr>
        <w:t>, 2018)</w:t>
      </w:r>
      <w:r w:rsidR="00F20BA4">
        <w:rPr>
          <w:rFonts w:ascii="Calibri" w:hAnsi="Calibri" w:cs="Calibri"/>
        </w:rPr>
        <w:t>.</w:t>
      </w:r>
      <w:r w:rsidR="007017D4">
        <w:rPr>
          <w:rFonts w:ascii="Calibri" w:hAnsi="Calibri" w:cs="Calibri"/>
        </w:rPr>
        <w:t xml:space="preserve"> </w:t>
      </w:r>
      <w:r w:rsidR="00FA2010" w:rsidRPr="000719DD">
        <w:rPr>
          <w:rFonts w:ascii="Calibri" w:hAnsi="Calibri" w:cs="Calibri"/>
        </w:rPr>
        <w:t>Dessa forma, a</w:t>
      </w:r>
      <w:r w:rsidR="0015749C" w:rsidRPr="000719DD">
        <w:rPr>
          <w:rFonts w:ascii="Calibri" w:hAnsi="Calibri" w:cs="Calibri"/>
        </w:rPr>
        <w:t xml:space="preserve"> terapia periodontal </w:t>
      </w:r>
      <w:r w:rsidR="00FA2010" w:rsidRPr="000719DD">
        <w:rPr>
          <w:rFonts w:ascii="Calibri" w:hAnsi="Calibri" w:cs="Calibri"/>
        </w:rPr>
        <w:t xml:space="preserve">deve ser </w:t>
      </w:r>
      <w:r w:rsidR="00A75C58">
        <w:rPr>
          <w:rFonts w:ascii="Calibri" w:hAnsi="Calibri" w:cs="Calibri"/>
        </w:rPr>
        <w:t>elaborada</w:t>
      </w:r>
      <w:r w:rsidR="00FA2010" w:rsidRPr="000719DD">
        <w:rPr>
          <w:rFonts w:ascii="Calibri" w:hAnsi="Calibri" w:cs="Calibri"/>
        </w:rPr>
        <w:t xml:space="preserve"> de forma individualizada, visando os melhores resultados dentro das queixas e limitações de cada paciente. </w:t>
      </w:r>
    </w:p>
    <w:p w:rsidR="007017D4" w:rsidRDefault="00C920B6" w:rsidP="008D0DDB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Assim</w:t>
      </w:r>
      <w:r w:rsidR="00FC7BBF">
        <w:rPr>
          <w:rFonts w:ascii="Calibri" w:hAnsi="Calibri" w:cs="Calibri"/>
        </w:rPr>
        <w:t>, para o planejamento d</w:t>
      </w:r>
      <w:r w:rsidR="00A75C58">
        <w:rPr>
          <w:rFonts w:ascii="Calibri" w:hAnsi="Calibri" w:cs="Calibri"/>
        </w:rPr>
        <w:t>e</w:t>
      </w:r>
      <w:r w:rsidR="00FC7BBF">
        <w:rPr>
          <w:rFonts w:ascii="Calibri" w:hAnsi="Calibri" w:cs="Calibri"/>
        </w:rPr>
        <w:t xml:space="preserve"> caso</w:t>
      </w:r>
      <w:r w:rsidR="00A75C58">
        <w:rPr>
          <w:rFonts w:ascii="Calibri" w:hAnsi="Calibri" w:cs="Calibri"/>
        </w:rPr>
        <w:t>s</w:t>
      </w:r>
      <w:r w:rsidR="00FC7BBF">
        <w:rPr>
          <w:rFonts w:ascii="Calibri" w:hAnsi="Calibri" w:cs="Calibri"/>
        </w:rPr>
        <w:t xml:space="preserve">, </w:t>
      </w:r>
      <w:proofErr w:type="spellStart"/>
      <w:r w:rsidR="00FC7BBF">
        <w:rPr>
          <w:rFonts w:ascii="Calibri" w:hAnsi="Calibri" w:cs="Calibri"/>
        </w:rPr>
        <w:t>Lindhe</w:t>
      </w:r>
      <w:proofErr w:type="spellEnd"/>
      <w:r w:rsidR="00FC7BBF">
        <w:rPr>
          <w:rFonts w:ascii="Calibri" w:hAnsi="Calibri" w:cs="Calibri"/>
        </w:rPr>
        <w:t xml:space="preserve"> chama atenção para o fato de que o plano de tratamento inicial é mutável por alguns motivos, como: o grau de sucesso é desconhecido e os resultados de algumas etapas iniciais do tratamento são imprevisíveis (e variam entre pacientes); E as queixas e desejos do paciente também devem ser levadas em consideração. Para sabermos quais dentes podem e devem ser submetidos a um tratamento periodontal, analisamos alguns aspectos para delinear os prognósticos. Dentes com bons prognósticos geralmente terão tratamentos mais simples. Dentes com prognósticos duvidosos geralmente necessitam de um tratamento mais abrangente e com terapias adicionais (são determinados como dentes de prognóstico duvidoso após analise de critérios periodontais, </w:t>
      </w:r>
      <w:proofErr w:type="spellStart"/>
      <w:r w:rsidR="00FC7BBF">
        <w:rPr>
          <w:rFonts w:ascii="Calibri" w:hAnsi="Calibri" w:cs="Calibri"/>
        </w:rPr>
        <w:t>endo-perio</w:t>
      </w:r>
      <w:proofErr w:type="spellEnd"/>
      <w:r w:rsidR="00FC7BBF">
        <w:rPr>
          <w:rFonts w:ascii="Calibri" w:hAnsi="Calibri" w:cs="Calibri"/>
        </w:rPr>
        <w:t xml:space="preserve"> e dentárias). Já dentes de prognósticos ruim são dentes que</w:t>
      </w:r>
      <w:r w:rsidR="000166AF">
        <w:rPr>
          <w:rFonts w:ascii="Calibri" w:hAnsi="Calibri" w:cs="Calibri"/>
        </w:rPr>
        <w:t xml:space="preserve"> não são aconselháveis para tratamento, e são determinados assim também por meio de análise de critérios periodontais, </w:t>
      </w:r>
      <w:proofErr w:type="spellStart"/>
      <w:r w:rsidR="000166AF">
        <w:rPr>
          <w:rFonts w:ascii="Calibri" w:hAnsi="Calibri" w:cs="Calibri"/>
        </w:rPr>
        <w:t>endo-perio</w:t>
      </w:r>
      <w:proofErr w:type="spellEnd"/>
      <w:r w:rsidR="000166AF">
        <w:rPr>
          <w:rFonts w:ascii="Calibri" w:hAnsi="Calibri" w:cs="Calibri"/>
        </w:rPr>
        <w:t>, dentários e em adição, funcionais</w:t>
      </w:r>
      <w:r w:rsidR="00F20BA4">
        <w:rPr>
          <w:rFonts w:ascii="Calibri" w:hAnsi="Calibri" w:cs="Calibri"/>
        </w:rPr>
        <w:t xml:space="preserve"> </w:t>
      </w:r>
      <w:r w:rsidR="00F20BA4" w:rsidRPr="000719DD">
        <w:rPr>
          <w:rFonts w:ascii="Calibri" w:hAnsi="Calibri" w:cs="Calibri"/>
        </w:rPr>
        <w:t>(LINDHE</w:t>
      </w:r>
      <w:r w:rsidR="00F20BA4">
        <w:rPr>
          <w:rFonts w:ascii="Calibri" w:hAnsi="Calibri" w:cs="Calibri"/>
        </w:rPr>
        <w:t xml:space="preserve"> et al</w:t>
      </w:r>
      <w:r w:rsidR="00F20BA4" w:rsidRPr="000719DD">
        <w:rPr>
          <w:rFonts w:ascii="Calibri" w:hAnsi="Calibri" w:cs="Calibri"/>
        </w:rPr>
        <w:t>, 20</w:t>
      </w:r>
      <w:r w:rsidR="00F20BA4">
        <w:rPr>
          <w:rFonts w:ascii="Calibri" w:hAnsi="Calibri" w:cs="Calibri"/>
        </w:rPr>
        <w:t>18</w:t>
      </w:r>
      <w:r w:rsidR="00F20BA4" w:rsidRPr="000719DD">
        <w:rPr>
          <w:rFonts w:ascii="Calibri" w:hAnsi="Calibri" w:cs="Calibri"/>
        </w:rPr>
        <w:t>)</w:t>
      </w:r>
      <w:r w:rsidR="00F20BA4">
        <w:rPr>
          <w:rFonts w:ascii="Calibri" w:hAnsi="Calibri" w:cs="Calibri"/>
        </w:rPr>
        <w:t>.</w:t>
      </w:r>
    </w:p>
    <w:p w:rsidR="007017D4" w:rsidRDefault="000166AF" w:rsidP="000166A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Comumente, a maioria dos pacientes recebem a indicação de um tratamento não cirúrgico e após avaliação, indica-se a repetição da mesma abordagem, com ou sem terapias adjuvantes ou indica-se uma abordagem diferente, como uma terapia cirúrgica.  Após a reavaliação da fase inicial do tratamento periodontal (parte a qual eliminou-se ou diminuiu-se riscos a complicações, f</w:t>
      </w:r>
      <w:r w:rsidR="00A75C58">
        <w:rPr>
          <w:rFonts w:ascii="Calibri" w:hAnsi="Calibri" w:cs="Calibri"/>
        </w:rPr>
        <w:t>e</w:t>
      </w:r>
      <w:r>
        <w:rPr>
          <w:rFonts w:ascii="Calibri" w:hAnsi="Calibri" w:cs="Calibri"/>
        </w:rPr>
        <w:t>z-se a remoção de fatores retentivos de biofilme</w:t>
      </w:r>
      <w:r w:rsidR="00A75C58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 xml:space="preserve"> realizou-se motivação do paciente), a reavaliação é feita. No caso de persistência de bolsa profundas + sangramento </w:t>
      </w:r>
      <w:r w:rsidR="00C920B6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sondagem</w:t>
      </w:r>
      <w:r w:rsidR="00C920B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pode-se optar por uma </w:t>
      </w:r>
      <w:proofErr w:type="spellStart"/>
      <w:r>
        <w:rPr>
          <w:rFonts w:ascii="Calibri" w:hAnsi="Calibri" w:cs="Calibri"/>
        </w:rPr>
        <w:t>reinstrumentação</w:t>
      </w:r>
      <w:proofErr w:type="spellEnd"/>
      <w:r>
        <w:rPr>
          <w:rFonts w:ascii="Calibri" w:hAnsi="Calibri" w:cs="Calibri"/>
        </w:rPr>
        <w:t xml:space="preserve"> e reavaliação ou partir para novas modalidades de tratamento. A decisão de indicar uma terapia cirúrgica, é feita a partir da observação da persistência de sinais e sintomas de inflamação (exsudato, sangramento a sondagem e aumento gengival), como também da percepção da dificuldade de acesso para raspagem e alisamento radicular </w:t>
      </w:r>
      <w:r w:rsidR="00A75C58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da dificuldade do controle de placa por parte do paciente </w:t>
      </w:r>
      <w:r w:rsidR="00F20BA4" w:rsidRPr="000719DD">
        <w:rPr>
          <w:rFonts w:ascii="Calibri" w:hAnsi="Calibri" w:cs="Calibri"/>
        </w:rPr>
        <w:t>(LINDHE</w:t>
      </w:r>
      <w:r w:rsidR="00F20BA4">
        <w:rPr>
          <w:rFonts w:ascii="Calibri" w:hAnsi="Calibri" w:cs="Calibri"/>
        </w:rPr>
        <w:t xml:space="preserve"> et al</w:t>
      </w:r>
      <w:r w:rsidR="00F20BA4" w:rsidRPr="000719DD">
        <w:rPr>
          <w:rFonts w:ascii="Calibri" w:hAnsi="Calibri" w:cs="Calibri"/>
        </w:rPr>
        <w:t>, 20</w:t>
      </w:r>
      <w:r w:rsidR="00F20BA4">
        <w:rPr>
          <w:rFonts w:ascii="Calibri" w:hAnsi="Calibri" w:cs="Calibri"/>
        </w:rPr>
        <w:t>18</w:t>
      </w:r>
      <w:r w:rsidR="00F20BA4" w:rsidRPr="000719DD">
        <w:rPr>
          <w:rFonts w:ascii="Calibri" w:hAnsi="Calibri" w:cs="Calibri"/>
        </w:rPr>
        <w:t>)</w:t>
      </w:r>
      <w:r w:rsidR="00F20BA4">
        <w:rPr>
          <w:rFonts w:ascii="Calibri" w:hAnsi="Calibri" w:cs="Calibri"/>
        </w:rPr>
        <w:t>.</w:t>
      </w:r>
    </w:p>
    <w:p w:rsidR="00F20BA4" w:rsidRPr="00F20BA4" w:rsidRDefault="00F20BA4" w:rsidP="000166A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Uma forma de indicar diretamente uma abordagem cirúrgica, é se o paciente apresentar bolsas profundas. Em uma sistemática com meta-análise, relat</w:t>
      </w:r>
      <w:r w:rsidR="00A75C58">
        <w:rPr>
          <w:rFonts w:ascii="Calibri" w:hAnsi="Calibri" w:cs="Calibri"/>
        </w:rPr>
        <w:t>ar</w:t>
      </w:r>
      <w:r>
        <w:rPr>
          <w:rFonts w:ascii="Calibri" w:hAnsi="Calibri" w:cs="Calibri"/>
        </w:rPr>
        <w:t xml:space="preserve">am que pacientes com 1-3mm de profundidade de sondagem se beneficiaram mais do tratamento não cirúrgico do que cirúrgico. Pacientes com bolsas entre 4 e 6mm de profundidade, tiveram menos ganho de inserção quando submetidos a tratamento cirúrgicos. Enquanto os pacientes com profundidades de sondagem &gt;6mm, obtiveram </w:t>
      </w:r>
      <w:r>
        <w:rPr>
          <w:rFonts w:ascii="Calibri" w:hAnsi="Calibri" w:cs="Calibri"/>
        </w:rPr>
        <w:lastRenderedPageBreak/>
        <w:t xml:space="preserve">maior ganho de inserção e maior redução da profundidade de sondagem no tratamento cirúrgico de raspagem em campo aberto </w:t>
      </w:r>
      <w:r w:rsidRPr="00F20BA4">
        <w:rPr>
          <w:rFonts w:ascii="Calibri" w:hAnsi="Calibri" w:cs="Calibri"/>
          <w:color w:val="000000" w:themeColor="text1"/>
        </w:rPr>
        <w:t>(</w:t>
      </w:r>
      <w:r w:rsidRPr="00913050">
        <w:rPr>
          <w:rFonts w:ascii="Calibri" w:eastAsia="Times New Roman" w:hAnsi="Calibri" w:cs="Calibri"/>
          <w:color w:val="000000" w:themeColor="text1"/>
          <w:shd w:val="clear" w:color="auto" w:fill="FFFFFF"/>
          <w:lang w:eastAsia="pt-BR"/>
        </w:rPr>
        <w:t>HEITZ‐MAYFIELD</w:t>
      </w:r>
      <w:r w:rsidRPr="00F20BA4">
        <w:rPr>
          <w:rFonts w:ascii="Calibri" w:eastAsia="Times New Roman" w:hAnsi="Calibri" w:cs="Calibri"/>
          <w:color w:val="000000" w:themeColor="text1"/>
          <w:shd w:val="clear" w:color="auto" w:fill="FFFFFF"/>
          <w:lang w:eastAsia="pt-BR"/>
        </w:rPr>
        <w:t xml:space="preserve"> et al., 2002)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t-BR"/>
        </w:rPr>
        <w:t>.</w:t>
      </w:r>
    </w:p>
    <w:p w:rsidR="002352F5" w:rsidRDefault="000166AF" w:rsidP="00F20BA4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Vale lembrar que, a partir da </w:t>
      </w:r>
      <w:r w:rsidR="00A75C58">
        <w:rPr>
          <w:rFonts w:ascii="Calibri" w:hAnsi="Calibri" w:cs="Calibri"/>
        </w:rPr>
        <w:t>avaliação inicial</w:t>
      </w:r>
      <w:r>
        <w:rPr>
          <w:rFonts w:ascii="Calibri" w:hAnsi="Calibri" w:cs="Calibri"/>
        </w:rPr>
        <w:t>, identificamos pacientes que possuem risco aument</w:t>
      </w:r>
      <w:r w:rsidR="00F20BA4">
        <w:rPr>
          <w:rFonts w:ascii="Calibri" w:hAnsi="Calibri" w:cs="Calibri"/>
        </w:rPr>
        <w:t>ado</w:t>
      </w:r>
      <w:r>
        <w:rPr>
          <w:rFonts w:ascii="Calibri" w:hAnsi="Calibri" w:cs="Calibri"/>
        </w:rPr>
        <w:t xml:space="preserve"> para complicações </w:t>
      </w:r>
      <w:r w:rsidR="00F20BA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que necessit</w:t>
      </w:r>
      <w:r w:rsidR="00F20BA4">
        <w:rPr>
          <w:rFonts w:ascii="Calibri" w:hAnsi="Calibri" w:cs="Calibri"/>
        </w:rPr>
        <w:t>e</w:t>
      </w:r>
      <w:r>
        <w:rPr>
          <w:rFonts w:ascii="Calibri" w:hAnsi="Calibri" w:cs="Calibri"/>
        </w:rPr>
        <w:t>m de uma atenção diferenciada no momento do atendimento odontológico. Como por exemplo, p</w:t>
      </w:r>
      <w:r w:rsidR="009C1A82">
        <w:rPr>
          <w:rFonts w:ascii="Calibri" w:hAnsi="Calibri" w:cs="Calibri"/>
        </w:rPr>
        <w:t xml:space="preserve">acientes que fazem uso de </w:t>
      </w:r>
      <w:proofErr w:type="spellStart"/>
      <w:r w:rsidR="009C1A82">
        <w:rPr>
          <w:rFonts w:ascii="Calibri" w:hAnsi="Calibri" w:cs="Calibri"/>
        </w:rPr>
        <w:t>anticoagulação</w:t>
      </w:r>
      <w:proofErr w:type="spellEnd"/>
      <w:r w:rsidR="009C1A82">
        <w:rPr>
          <w:rFonts w:ascii="Calibri" w:hAnsi="Calibri" w:cs="Calibri"/>
        </w:rPr>
        <w:t xml:space="preserve"> e </w:t>
      </w:r>
      <w:proofErr w:type="spellStart"/>
      <w:r w:rsidR="009C1A82">
        <w:rPr>
          <w:rFonts w:ascii="Calibri" w:hAnsi="Calibri" w:cs="Calibri"/>
        </w:rPr>
        <w:t>antiagregação</w:t>
      </w:r>
      <w:proofErr w:type="spellEnd"/>
      <w:r w:rsidR="009C1A82">
        <w:rPr>
          <w:rFonts w:ascii="Calibri" w:hAnsi="Calibri" w:cs="Calibri"/>
        </w:rPr>
        <w:t xml:space="preserve"> plaquetária </w:t>
      </w:r>
      <w:r>
        <w:rPr>
          <w:rFonts w:ascii="Calibri" w:hAnsi="Calibri" w:cs="Calibri"/>
        </w:rPr>
        <w:t xml:space="preserve">e </w:t>
      </w:r>
      <w:r w:rsidR="009C1A82">
        <w:rPr>
          <w:rFonts w:ascii="Calibri" w:hAnsi="Calibri" w:cs="Calibri"/>
        </w:rPr>
        <w:t xml:space="preserve">que necessitem de procedimentos </w:t>
      </w:r>
      <w:r>
        <w:rPr>
          <w:rFonts w:ascii="Calibri" w:hAnsi="Calibri" w:cs="Calibri"/>
        </w:rPr>
        <w:t xml:space="preserve">periodontais </w:t>
      </w:r>
      <w:r w:rsidR="009C1A82">
        <w:rPr>
          <w:rFonts w:ascii="Calibri" w:hAnsi="Calibri" w:cs="Calibri"/>
        </w:rPr>
        <w:t xml:space="preserve">mais invasivos, não devem ter seu medicamento suspendido, deve realizar exames laboratoriais pré operatórios e deve ser realizado o planejamento prévio de </w:t>
      </w:r>
      <w:r w:rsidR="00C920B6">
        <w:rPr>
          <w:rFonts w:ascii="Calibri" w:hAnsi="Calibri" w:cs="Calibri"/>
        </w:rPr>
        <w:t>modo a</w:t>
      </w:r>
      <w:r w:rsidR="009C1A82">
        <w:rPr>
          <w:rFonts w:ascii="Calibri" w:hAnsi="Calibri" w:cs="Calibri"/>
        </w:rPr>
        <w:t xml:space="preserve"> minimizar e controlar sangramento</w:t>
      </w:r>
      <w:r w:rsidR="00C920B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C920B6">
        <w:rPr>
          <w:rFonts w:ascii="Calibri" w:hAnsi="Calibri" w:cs="Calibri"/>
        </w:rPr>
        <w:t>A</w:t>
      </w:r>
      <w:r>
        <w:rPr>
          <w:rFonts w:ascii="Calibri" w:hAnsi="Calibri" w:cs="Calibri"/>
        </w:rPr>
        <w:t>lém disso, o contato com a equipe médica desse paciente é fundamental para melhor condução do caso</w:t>
      </w:r>
      <w:r w:rsidR="009C1A82">
        <w:rPr>
          <w:rFonts w:ascii="Calibri" w:hAnsi="Calibri" w:cs="Calibri"/>
        </w:rPr>
        <w:t>. Pacientes com risco a endocardite infecciosa</w:t>
      </w:r>
      <w:r w:rsidR="00F20BA4">
        <w:rPr>
          <w:rFonts w:ascii="Calibri" w:hAnsi="Calibri" w:cs="Calibri"/>
        </w:rPr>
        <w:t xml:space="preserve">, </w:t>
      </w:r>
      <w:r w:rsidR="002352F5">
        <w:rPr>
          <w:rFonts w:ascii="Calibri" w:hAnsi="Calibri" w:cs="Calibri"/>
        </w:rPr>
        <w:t>são pacientes que precisam de profilaxia antibiótica</w:t>
      </w:r>
      <w:r w:rsidR="00F20BA4">
        <w:rPr>
          <w:rFonts w:ascii="Calibri" w:hAnsi="Calibri" w:cs="Calibri"/>
        </w:rPr>
        <w:t>, enquanto p</w:t>
      </w:r>
      <w:r w:rsidR="002352F5">
        <w:rPr>
          <w:rFonts w:ascii="Calibri" w:hAnsi="Calibri" w:cs="Calibri"/>
        </w:rPr>
        <w:t>acientes com próteses articulares e diabetes, são casos que devem ser avaliados individualmente se existe necessidade de profilaxia antibiótica.</w:t>
      </w:r>
      <w:r w:rsidR="00F20BA4">
        <w:rPr>
          <w:rFonts w:ascii="Calibri" w:hAnsi="Calibri" w:cs="Calibri"/>
        </w:rPr>
        <w:t xml:space="preserve"> </w:t>
      </w:r>
      <w:r w:rsidR="002352F5">
        <w:rPr>
          <w:rFonts w:ascii="Calibri" w:hAnsi="Calibri" w:cs="Calibri"/>
        </w:rPr>
        <w:t>Pensando nos pontos mencionados anteriormente, o seguinte fluxograma de tomada de decisões foi montado:</w:t>
      </w:r>
    </w:p>
    <w:p w:rsidR="00F9563C" w:rsidRDefault="00F9563C" w:rsidP="00F20BA4">
      <w:pPr>
        <w:ind w:firstLine="708"/>
        <w:jc w:val="both"/>
        <w:rPr>
          <w:rFonts w:ascii="Calibri" w:hAnsi="Calibri" w:cs="Calibri"/>
        </w:rPr>
      </w:pPr>
    </w:p>
    <w:p w:rsidR="00C920B6" w:rsidRDefault="00C920B6" w:rsidP="00C920B6">
      <w:pPr>
        <w:ind w:firstLine="708"/>
        <w:jc w:val="both"/>
        <w:rPr>
          <w:rFonts w:ascii="Calibri" w:hAnsi="Calibri" w:cs="Calibri"/>
        </w:rPr>
      </w:pPr>
    </w:p>
    <w:p w:rsidR="00025BBC" w:rsidRPr="00C920B6" w:rsidRDefault="00025BBC" w:rsidP="00C920B6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3444875</wp:posOffset>
            </wp:positionV>
            <wp:extent cx="6431280" cy="581469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fluxograma decisoes final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581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C58" w:rsidRDefault="00A75C58" w:rsidP="00F9563C">
      <w:pPr>
        <w:ind w:firstLine="708"/>
        <w:jc w:val="both"/>
        <w:rPr>
          <w:rFonts w:ascii="Calibri" w:hAnsi="Calibri" w:cs="Calibri"/>
          <w:lang w:val="en-US"/>
        </w:rPr>
      </w:pPr>
    </w:p>
    <w:p w:rsidR="00F9563C" w:rsidRPr="00AC4990" w:rsidRDefault="00F9563C" w:rsidP="00F9563C">
      <w:pPr>
        <w:ind w:firstLine="708"/>
        <w:jc w:val="both"/>
        <w:rPr>
          <w:rFonts w:ascii="Calibri" w:hAnsi="Calibri" w:cs="Calibri"/>
          <w:lang w:val="en-US"/>
        </w:rPr>
      </w:pPr>
      <w:r w:rsidRPr="00AC4990">
        <w:rPr>
          <w:rFonts w:ascii="Calibri" w:hAnsi="Calibri" w:cs="Calibri"/>
          <w:lang w:val="en-US"/>
        </w:rPr>
        <w:t>REFERÊNCIAS</w:t>
      </w:r>
    </w:p>
    <w:p w:rsidR="00F9563C" w:rsidRPr="00AC4990" w:rsidRDefault="00F9563C" w:rsidP="00F9563C">
      <w:pPr>
        <w:ind w:firstLine="708"/>
        <w:jc w:val="both"/>
        <w:rPr>
          <w:rFonts w:ascii="Calibri" w:hAnsi="Calibri" w:cs="Calibri"/>
          <w:lang w:val="en-US"/>
        </w:rPr>
      </w:pPr>
    </w:p>
    <w:p w:rsidR="00F9563C" w:rsidRDefault="00F9563C" w:rsidP="00F9563C"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ALBANDAR, J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M.; SUSIN, 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; HUGHES, F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J. Manifestations of systemic diseases and conditions that affect the periodontal attachment apparatus: Case definitions and diagnostic considerations.</w:t>
      </w:r>
      <w:r w:rsidRPr="00AC499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Journal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clinical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periodontology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v. 45, p. S171-S189, 2018.</w:t>
      </w:r>
    </w:p>
    <w:p w:rsidR="00F9563C" w:rsidRDefault="00F9563C" w:rsidP="00F9563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9563C" w:rsidRPr="00913050" w:rsidRDefault="00F9563C" w:rsidP="00F9563C">
      <w:pPr>
        <w:rPr>
          <w:rFonts w:ascii="Times New Roman" w:eastAsia="Times New Roman" w:hAnsi="Times New Roman" w:cs="Times New Roman"/>
          <w:lang w:eastAsia="pt-BR"/>
        </w:rPr>
      </w:pPr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CARNEIRO, S.R.S.; IMBRONITO, A.V.; GARCIA, D.B.; TODESCAN, J.H. Bases fundamentais do plano de tratamento periodontal - exame e avaliação. </w:t>
      </w:r>
      <w:r w:rsidRPr="0091305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>Periodontia Revista (SOBRAPE),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v. 9, p. 10-13, 2000.</w:t>
      </w:r>
    </w:p>
    <w:p w:rsidR="00F9563C" w:rsidRDefault="00F9563C" w:rsidP="00F9563C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:rsidR="00F9563C" w:rsidRPr="00F9563C" w:rsidRDefault="00F9563C" w:rsidP="00F9563C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CARRANZA, M. G. 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; </w:t>
      </w:r>
      <w:proofErr w:type="spellStart"/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Takel</w:t>
      </w:r>
      <w:proofErr w:type="spellEnd"/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, H. H., </w:t>
      </w:r>
      <w:proofErr w:type="spellStart"/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Klokkevold</w:t>
      </w:r>
      <w:proofErr w:type="spellEnd"/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, P. R., &amp; </w:t>
      </w:r>
      <w:proofErr w:type="spellStart"/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Carranza</w:t>
      </w:r>
      <w:proofErr w:type="spellEnd"/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, F. A. Periodontia clínica. </w:t>
      </w:r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12. In: </w:t>
      </w:r>
      <w:r w:rsidRPr="00913050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pt-BR"/>
        </w:rPr>
        <w:t>:</w:t>
      </w:r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. Elsevier, 2016.</w:t>
      </w:r>
    </w:p>
    <w:p w:rsidR="00F9563C" w:rsidRPr="00F9563C" w:rsidRDefault="00F9563C" w:rsidP="00F9563C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F9563C" w:rsidRPr="00F9563C" w:rsidRDefault="00F9563C" w:rsidP="00F9563C">
      <w:pPr>
        <w:rPr>
          <w:lang w:val="en-US"/>
        </w:rPr>
      </w:pPr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CORTELLINI, P.; BISSADA, N. Mucogingival conditions in the natural dentition.</w:t>
      </w:r>
      <w:r w:rsidRPr="00AC499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F9563C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Journal of Periodontology</w:t>
      </w:r>
      <w:r w:rsidRPr="00F9563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2018.</w:t>
      </w:r>
    </w:p>
    <w:p w:rsidR="00F9563C" w:rsidRPr="00F9563C" w:rsidRDefault="00F9563C" w:rsidP="00F9563C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F9563C" w:rsidRPr="00F9563C" w:rsidRDefault="00F9563C" w:rsidP="00F9563C">
      <w:pPr>
        <w:rPr>
          <w:rFonts w:ascii="Times New Roman" w:eastAsia="Times New Roman" w:hAnsi="Times New Roman" w:cs="Times New Roman"/>
          <w:lang w:val="en-US" w:eastAsia="pt-BR"/>
        </w:rPr>
      </w:pPr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MURAKAMI, Shinya et al. Dental plaque–induced gingival conditions.</w:t>
      </w:r>
      <w:r w:rsidRPr="00AC499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F9563C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Journal of clinical periodontology</w:t>
      </w:r>
      <w:r w:rsidRPr="00F9563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v. 45, p. S17-S27, 2018.</w:t>
      </w:r>
    </w:p>
    <w:p w:rsidR="00F9563C" w:rsidRPr="00F9563C" w:rsidRDefault="00F9563C" w:rsidP="00F9563C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</w:pPr>
    </w:p>
    <w:p w:rsidR="00F9563C" w:rsidRPr="00F9563C" w:rsidRDefault="00F9563C" w:rsidP="00F9563C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HEITZ</w:t>
      </w:r>
      <w:r w:rsidRPr="00913050">
        <w:rPr>
          <w:rFonts w:ascii="Cambria Math" w:eastAsia="Times New Roman" w:hAnsi="Cambria Math" w:cs="Cambria Math"/>
          <w:color w:val="222222"/>
          <w:sz w:val="20"/>
          <w:szCs w:val="20"/>
          <w:shd w:val="clear" w:color="auto" w:fill="FFFFFF"/>
          <w:lang w:val="en-US" w:eastAsia="pt-BR"/>
        </w:rPr>
        <w:t>‐</w:t>
      </w:r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MAYFIELD, L. J. A. et al. A systematic review of the effect of surgical debridement vs. non</w:t>
      </w:r>
      <w:r w:rsidRPr="00913050">
        <w:rPr>
          <w:rFonts w:ascii="Cambria Math" w:eastAsia="Times New Roman" w:hAnsi="Cambria Math" w:cs="Cambria Math"/>
          <w:color w:val="222222"/>
          <w:sz w:val="20"/>
          <w:szCs w:val="20"/>
          <w:shd w:val="clear" w:color="auto" w:fill="FFFFFF"/>
          <w:lang w:val="en-US" w:eastAsia="pt-BR"/>
        </w:rPr>
        <w:t>‐</w:t>
      </w:r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surgical debridement for the treatment of chronic periodontitis. </w:t>
      </w:r>
      <w:r w:rsidRPr="00913050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pt-BR"/>
        </w:rPr>
        <w:t>Journal of clinical periodontology</w:t>
      </w:r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, v. 29, p. 92-102, 2002</w:t>
      </w:r>
    </w:p>
    <w:p w:rsidR="00F9563C" w:rsidRPr="00F9563C" w:rsidRDefault="00F9563C" w:rsidP="00F9563C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</w:pPr>
    </w:p>
    <w:p w:rsidR="00F9563C" w:rsidRPr="00F9563C" w:rsidRDefault="00F9563C" w:rsidP="00F9563C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F9563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HERRERA, David et al. Acute periodontal lesions (periodontal abscesses and necrotizing periodontal diseases) and endo</w:t>
      </w:r>
      <w:r w:rsidRPr="00F9563C">
        <w:rPr>
          <w:rFonts w:ascii="Cambria Math" w:hAnsi="Cambria Math" w:cs="Cambria Math"/>
          <w:color w:val="222222"/>
          <w:sz w:val="20"/>
          <w:szCs w:val="20"/>
          <w:shd w:val="clear" w:color="auto" w:fill="FFFFFF"/>
          <w:lang w:val="en-US"/>
        </w:rPr>
        <w:t>‐</w:t>
      </w:r>
      <w:r w:rsidRPr="00F9563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periodontal lesions.</w:t>
      </w:r>
      <w:r w:rsidRPr="00F9563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F9563C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Journal of clinical periodontology</w:t>
      </w:r>
      <w:r w:rsidRPr="00F9563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v. 45, p. S78-S94, 2018.</w:t>
      </w:r>
    </w:p>
    <w:p w:rsidR="00F9563C" w:rsidRPr="00F9563C" w:rsidRDefault="00F9563C" w:rsidP="00F9563C">
      <w:pPr>
        <w:rPr>
          <w:rFonts w:ascii="Times New Roman" w:eastAsia="Times New Roman" w:hAnsi="Times New Roman" w:cs="Times New Roman"/>
          <w:lang w:val="en-US" w:eastAsia="pt-BR"/>
        </w:rPr>
      </w:pPr>
    </w:p>
    <w:p w:rsidR="00F9563C" w:rsidRPr="00F9563C" w:rsidRDefault="00F9563C" w:rsidP="00F9563C">
      <w:pPr>
        <w:rPr>
          <w:lang w:val="en-US"/>
        </w:rPr>
      </w:pPr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HOLMSTRUP, </w:t>
      </w:r>
      <w:proofErr w:type="spellStart"/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Palle</w:t>
      </w:r>
      <w:proofErr w:type="spellEnd"/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; PLEMONS, Jacqueline; MEYLE, Joerg. Non–plaque</w:t>
      </w:r>
      <w:r w:rsidRPr="00AC4990">
        <w:rPr>
          <w:rFonts w:ascii="Cambria Math" w:hAnsi="Cambria Math" w:cs="Cambria Math"/>
          <w:color w:val="222222"/>
          <w:sz w:val="20"/>
          <w:szCs w:val="20"/>
          <w:shd w:val="clear" w:color="auto" w:fill="FFFFFF"/>
          <w:lang w:val="en-US"/>
        </w:rPr>
        <w:t>‐</w:t>
      </w:r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induced gingival diseases.</w:t>
      </w:r>
      <w:r w:rsidRPr="00AC499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F9563C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Journal of clinical periodontology</w:t>
      </w:r>
      <w:r w:rsidRPr="00F9563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v. 45, p. S28-S43, 2018.</w:t>
      </w:r>
    </w:p>
    <w:p w:rsidR="00F9563C" w:rsidRPr="00F9563C" w:rsidRDefault="00F9563C" w:rsidP="00F9563C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</w:pPr>
    </w:p>
    <w:p w:rsidR="00F9563C" w:rsidRPr="00913050" w:rsidRDefault="00F9563C" w:rsidP="00F9563C">
      <w:pPr>
        <w:rPr>
          <w:rFonts w:ascii="Times New Roman" w:eastAsia="Times New Roman" w:hAnsi="Times New Roman" w:cs="Times New Roman"/>
          <w:lang w:eastAsia="pt-BR"/>
        </w:rPr>
      </w:pPr>
      <w:r w:rsidRPr="00AC499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KOSHY, 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.</w:t>
      </w:r>
      <w:r w:rsidRPr="00AC499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; CORBET, 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.</w:t>
      </w:r>
      <w:r w:rsidRPr="00AC499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; ISHIKAWA, I. A full</w:t>
      </w:r>
      <w:r w:rsidRPr="00AC4990">
        <w:rPr>
          <w:rFonts w:ascii="Cambria Math" w:eastAsia="Times New Roman" w:hAnsi="Cambria Math" w:cs="Cambria Math"/>
          <w:color w:val="222222"/>
          <w:sz w:val="20"/>
          <w:szCs w:val="20"/>
          <w:shd w:val="clear" w:color="auto" w:fill="FFFFFF"/>
          <w:lang w:val="en-US" w:eastAsia="pt-BR"/>
        </w:rPr>
        <w:t>‐</w:t>
      </w:r>
      <w:r w:rsidRPr="00AC499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mouth disinfection approach to nonsurgical periodontal therapy–prevention of reinfection from bacterial reservoirs. </w:t>
      </w:r>
      <w:proofErr w:type="spellStart"/>
      <w:r w:rsidRPr="00AC4990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Periodontology</w:t>
      </w:r>
      <w:proofErr w:type="spellEnd"/>
      <w:r w:rsidRPr="00AC4990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2000</w:t>
      </w:r>
      <w:r w:rsidRPr="00AC499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, v. 36, n. 1, p. 166-178, 2004.</w:t>
      </w:r>
    </w:p>
    <w:p w:rsidR="00F9563C" w:rsidRPr="00F9563C" w:rsidRDefault="00F9563C" w:rsidP="00F9563C">
      <w:pPr>
        <w:ind w:firstLine="708"/>
        <w:jc w:val="both"/>
        <w:rPr>
          <w:rFonts w:ascii="Calibri" w:hAnsi="Calibri" w:cs="Calibri"/>
        </w:rPr>
      </w:pPr>
    </w:p>
    <w:p w:rsidR="00F9563C" w:rsidRPr="00F9563C" w:rsidRDefault="00F9563C" w:rsidP="00F9563C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LINDHE, J.; KARRING, T.; LANG, N. P. Tratado de Periodontia Clínica e </w:t>
      </w:r>
      <w:proofErr w:type="spellStart"/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Implantologia</w:t>
      </w:r>
      <w:proofErr w:type="spellEnd"/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Oral. 6th. </w:t>
      </w:r>
      <w:r w:rsidRPr="0091305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2018.</w:t>
      </w:r>
      <w:r w:rsidRPr="00F956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 xml:space="preserve"> </w:t>
      </w:r>
    </w:p>
    <w:p w:rsidR="00F9563C" w:rsidRPr="00F9563C" w:rsidRDefault="00F9563C" w:rsidP="00F9563C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F9563C" w:rsidRPr="00F9563C" w:rsidRDefault="00F9563C" w:rsidP="00F9563C">
      <w:pPr>
        <w:rPr>
          <w:rFonts w:ascii="Times New Roman" w:eastAsia="Times New Roman" w:hAnsi="Times New Roman" w:cs="Times New Roman"/>
          <w:lang w:val="en-US" w:eastAsia="pt-BR"/>
        </w:rPr>
      </w:pPr>
      <w:r w:rsidRPr="00F9563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PAPAPANOU, </w:t>
      </w:r>
      <w:proofErr w:type="spellStart"/>
      <w:r w:rsidRPr="00F9563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Panos</w:t>
      </w:r>
      <w:proofErr w:type="spellEnd"/>
      <w:r w:rsidRPr="00F9563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N. et al. </w:t>
      </w:r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Periodontitis: Consensus report of workgroup 2 of the 2017 World Workshop on the Classification of Periodontal and Peri</w:t>
      </w:r>
      <w:r w:rsidRPr="00AC4990">
        <w:rPr>
          <w:rFonts w:ascii="Cambria Math" w:hAnsi="Cambria Math" w:cs="Cambria Math"/>
          <w:color w:val="222222"/>
          <w:sz w:val="20"/>
          <w:szCs w:val="20"/>
          <w:shd w:val="clear" w:color="auto" w:fill="FFFFFF"/>
          <w:lang w:val="en-US"/>
        </w:rPr>
        <w:t>‐</w:t>
      </w:r>
      <w:r w:rsidRPr="00AC499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Implant Diseases and Conditions.</w:t>
      </w:r>
      <w:r w:rsidRPr="00AC499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F9563C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Journal of periodontology</w:t>
      </w:r>
      <w:r w:rsidRPr="00F9563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v. 89, p. S173-S182, 2018.</w:t>
      </w:r>
    </w:p>
    <w:p w:rsidR="00F9563C" w:rsidRPr="00F9563C" w:rsidRDefault="00F9563C" w:rsidP="00F9563C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</w:pPr>
    </w:p>
    <w:p w:rsidR="00F9563C" w:rsidRPr="00AC4990" w:rsidRDefault="00F9563C" w:rsidP="00F9563C">
      <w:pPr>
        <w:rPr>
          <w:rFonts w:ascii="Times New Roman" w:eastAsia="Times New Roman" w:hAnsi="Times New Roman" w:cs="Times New Roman"/>
          <w:lang w:val="en-US" w:eastAsia="pt-BR"/>
        </w:rPr>
      </w:pPr>
      <w:r w:rsidRPr="00AC499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RADAFSHAR, G.; AMIRI, M.M. Impact of One-Stage Full Mouth Disinfection and Periodontal Surgery on Oral Health-Related Quality of Life. </w:t>
      </w:r>
      <w:r w:rsidRPr="00AC4990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pt-BR"/>
        </w:rPr>
        <w:t>Journal of Dentistry</w:t>
      </w:r>
      <w:r w:rsidRPr="00AC499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, v. 20, n. 4, p. 276, 2019.</w:t>
      </w:r>
    </w:p>
    <w:p w:rsidR="00F20BA4" w:rsidRDefault="00F20BA4" w:rsidP="00F20BA4">
      <w:pPr>
        <w:ind w:firstLine="708"/>
        <w:jc w:val="both"/>
        <w:rPr>
          <w:rFonts w:ascii="Calibri" w:hAnsi="Calibri" w:cs="Calibri"/>
        </w:rPr>
      </w:pPr>
    </w:p>
    <w:p w:rsidR="00F20BA4" w:rsidRPr="000719DD" w:rsidRDefault="00F20BA4" w:rsidP="00F20BA4">
      <w:pPr>
        <w:ind w:firstLine="708"/>
        <w:jc w:val="both"/>
        <w:rPr>
          <w:rFonts w:ascii="Calibri" w:hAnsi="Calibri" w:cs="Calibri"/>
        </w:rPr>
      </w:pPr>
    </w:p>
    <w:sectPr w:rsidR="00F20BA4" w:rsidRPr="00071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9C"/>
    <w:rsid w:val="000166AF"/>
    <w:rsid w:val="00025BBC"/>
    <w:rsid w:val="000719DD"/>
    <w:rsid w:val="00144F41"/>
    <w:rsid w:val="0015749C"/>
    <w:rsid w:val="002352F5"/>
    <w:rsid w:val="002433CC"/>
    <w:rsid w:val="002D37F2"/>
    <w:rsid w:val="003021DF"/>
    <w:rsid w:val="00424D53"/>
    <w:rsid w:val="004C337A"/>
    <w:rsid w:val="004D0C01"/>
    <w:rsid w:val="005133A9"/>
    <w:rsid w:val="0054405F"/>
    <w:rsid w:val="00546BBE"/>
    <w:rsid w:val="005956DA"/>
    <w:rsid w:val="007017D4"/>
    <w:rsid w:val="008D0DDB"/>
    <w:rsid w:val="009C1A82"/>
    <w:rsid w:val="00A055AC"/>
    <w:rsid w:val="00A30BAF"/>
    <w:rsid w:val="00A75C58"/>
    <w:rsid w:val="00AE69E7"/>
    <w:rsid w:val="00B26926"/>
    <w:rsid w:val="00B30436"/>
    <w:rsid w:val="00B34D64"/>
    <w:rsid w:val="00C920B6"/>
    <w:rsid w:val="00D55B84"/>
    <w:rsid w:val="00EC3CE9"/>
    <w:rsid w:val="00F20BA4"/>
    <w:rsid w:val="00F9563C"/>
    <w:rsid w:val="00F97B89"/>
    <w:rsid w:val="00FA2010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BBD2"/>
  <w15:chartTrackingRefBased/>
  <w15:docId w15:val="{0CCD41B1-B8E7-5540-830E-419DFEB8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9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1635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2020-08-17T08:14:00Z</dcterms:created>
  <dcterms:modified xsi:type="dcterms:W3CDTF">2020-08-21T01:46:00Z</dcterms:modified>
</cp:coreProperties>
</file>