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9CCC" w14:textId="72216DB5" w:rsidR="00391CC6" w:rsidRPr="000E1EBA" w:rsidRDefault="00391CC6" w:rsidP="00625808">
      <w:pPr>
        <w:jc w:val="center"/>
        <w:rPr>
          <w:rFonts w:cs="Times New Roman"/>
          <w:szCs w:val="24"/>
        </w:rPr>
      </w:pPr>
      <w:r w:rsidRPr="000E1EBA">
        <w:rPr>
          <w:rFonts w:cs="Times New Roman"/>
          <w:szCs w:val="24"/>
        </w:rPr>
        <w:t>UNIVERSIDADE DE SÃO PAULO</w:t>
      </w:r>
    </w:p>
    <w:p w14:paraId="05C97236" w14:textId="30C22FDC" w:rsidR="00391CC6" w:rsidRPr="000E1EBA" w:rsidRDefault="00391CC6" w:rsidP="00625808">
      <w:pPr>
        <w:jc w:val="center"/>
        <w:rPr>
          <w:rFonts w:cs="Times New Roman"/>
          <w:szCs w:val="24"/>
        </w:rPr>
      </w:pPr>
      <w:r w:rsidRPr="000E1EBA">
        <w:rPr>
          <w:rFonts w:cs="Times New Roman"/>
          <w:szCs w:val="24"/>
        </w:rPr>
        <w:t>ESCOLA SUPERIOR DE AGRICULTURA “LUIZ DE QUEIROZ”</w:t>
      </w:r>
    </w:p>
    <w:p w14:paraId="7A24EADE" w14:textId="0B58532D" w:rsidR="00391CC6" w:rsidRPr="000E1EBA" w:rsidRDefault="00DD5C95" w:rsidP="00625808">
      <w:pPr>
        <w:jc w:val="center"/>
        <w:rPr>
          <w:rFonts w:cs="Times New Roman"/>
          <w:szCs w:val="24"/>
        </w:rPr>
      </w:pPr>
      <w:r w:rsidRPr="000E1EBA">
        <w:rPr>
          <w:rFonts w:cs="Times New Roman"/>
          <w:szCs w:val="24"/>
        </w:rPr>
        <w:t>Programa de Pós-graduação em Engenharia de Sistemas Agrícolas</w:t>
      </w:r>
    </w:p>
    <w:p w14:paraId="74745CB6" w14:textId="0F18BBEC" w:rsidR="00DD5C95" w:rsidRPr="000E1EBA" w:rsidRDefault="00DD5C95" w:rsidP="00625808">
      <w:pPr>
        <w:jc w:val="center"/>
        <w:rPr>
          <w:rFonts w:cs="Times New Roman"/>
          <w:szCs w:val="24"/>
        </w:rPr>
      </w:pPr>
      <w:r w:rsidRPr="000E1EBA">
        <w:rPr>
          <w:rFonts w:cs="Times New Roman"/>
          <w:szCs w:val="24"/>
        </w:rPr>
        <w:t>Fluxos de energia na agricultura</w:t>
      </w:r>
    </w:p>
    <w:p w14:paraId="15D11D07" w14:textId="77777777" w:rsidR="000E1EBA" w:rsidRDefault="000E1EBA" w:rsidP="00B92191">
      <w:pPr>
        <w:spacing w:after="840"/>
        <w:jc w:val="center"/>
        <w:rPr>
          <w:rFonts w:cs="Times New Roman"/>
          <w:b/>
          <w:bCs/>
          <w:szCs w:val="24"/>
        </w:rPr>
      </w:pPr>
    </w:p>
    <w:p w14:paraId="6CEEE78A" w14:textId="77777777" w:rsidR="000E1EBA" w:rsidRDefault="000E1EBA" w:rsidP="00B92191">
      <w:pPr>
        <w:spacing w:before="3720"/>
        <w:jc w:val="center"/>
        <w:rPr>
          <w:rFonts w:cs="Times New Roman"/>
          <w:b/>
          <w:bCs/>
          <w:szCs w:val="24"/>
        </w:rPr>
      </w:pPr>
    </w:p>
    <w:p w14:paraId="12AA6281" w14:textId="59B27E9E" w:rsidR="00391CC6" w:rsidRDefault="00625808" w:rsidP="000E1EBA">
      <w:pPr>
        <w:ind w:firstLine="0"/>
        <w:jc w:val="center"/>
        <w:rPr>
          <w:rFonts w:cs="Times New Roman"/>
          <w:b/>
          <w:bCs/>
          <w:szCs w:val="24"/>
        </w:rPr>
      </w:pPr>
      <w:r w:rsidRPr="000E1EBA">
        <w:rPr>
          <w:rFonts w:cs="Times New Roman"/>
          <w:b/>
          <w:bCs/>
          <w:szCs w:val="24"/>
        </w:rPr>
        <w:t>Saldo energético da cana-de-açúcar submetida a níveis de fotoproteção e regimes hídricos</w:t>
      </w:r>
    </w:p>
    <w:p w14:paraId="0E4FD97A" w14:textId="77777777" w:rsidR="000E1EBA" w:rsidRPr="000E1EBA" w:rsidRDefault="000E1EBA" w:rsidP="000E1EBA">
      <w:pPr>
        <w:ind w:firstLine="0"/>
        <w:jc w:val="center"/>
        <w:rPr>
          <w:rFonts w:cs="Times New Roman"/>
          <w:b/>
          <w:bCs/>
          <w:szCs w:val="24"/>
        </w:rPr>
      </w:pPr>
    </w:p>
    <w:p w14:paraId="3B0FF7FC" w14:textId="654D3E1C" w:rsidR="000E1EBA" w:rsidRDefault="000E1EBA" w:rsidP="000E1EBA">
      <w:pPr>
        <w:ind w:firstLine="0"/>
        <w:jc w:val="right"/>
        <w:rPr>
          <w:rFonts w:cs="Times New Roman"/>
          <w:szCs w:val="24"/>
          <w:u w:val="single"/>
        </w:rPr>
      </w:pPr>
      <w:r w:rsidRPr="000E1EBA">
        <w:rPr>
          <w:rFonts w:cs="Times New Roman"/>
          <w:szCs w:val="24"/>
          <w:u w:val="single"/>
        </w:rPr>
        <w:t>Iêdo Peroba de Oliveira Teodoro</w:t>
      </w:r>
    </w:p>
    <w:p w14:paraId="28C26F2F" w14:textId="5E6CF24C" w:rsidR="000E1EBA" w:rsidRPr="00B41186" w:rsidRDefault="00B41186" w:rsidP="001223E9">
      <w:pPr>
        <w:spacing w:after="5040"/>
        <w:ind w:firstLine="0"/>
        <w:jc w:val="right"/>
        <w:rPr>
          <w:rFonts w:cs="Times New Roman"/>
          <w:szCs w:val="24"/>
        </w:rPr>
      </w:pPr>
      <w:r w:rsidRPr="00B41186">
        <w:rPr>
          <w:rFonts w:cs="Times New Roman"/>
          <w:szCs w:val="24"/>
        </w:rPr>
        <w:t>Prof. Dr. Thiago Libório Romanelli</w:t>
      </w:r>
    </w:p>
    <w:p w14:paraId="3010CBB4" w14:textId="34E4DB6B" w:rsidR="00B41186" w:rsidRDefault="00B92191" w:rsidP="00B92191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Piracicaba, SP</w:t>
      </w:r>
    </w:p>
    <w:p w14:paraId="3101F820" w14:textId="7E037160" w:rsidR="001223E9" w:rsidRDefault="00B92191" w:rsidP="001223E9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Novembro de 2023</w:t>
      </w:r>
      <w:r w:rsidR="001223E9">
        <w:rPr>
          <w:rFonts w:cs="Times New Roman"/>
          <w:szCs w:val="24"/>
        </w:rPr>
        <w:br w:type="page"/>
      </w:r>
    </w:p>
    <w:p w14:paraId="4A489ED2" w14:textId="77777777" w:rsidR="00A259B7" w:rsidRDefault="00A259B7" w:rsidP="00A259B7">
      <w:pPr>
        <w:ind w:firstLine="0"/>
        <w:jc w:val="center"/>
        <w:rPr>
          <w:rFonts w:cs="Times New Roman"/>
          <w:b/>
          <w:bCs/>
          <w:szCs w:val="24"/>
        </w:rPr>
      </w:pPr>
      <w:r w:rsidRPr="000E1EBA">
        <w:rPr>
          <w:rFonts w:cs="Times New Roman"/>
          <w:b/>
          <w:bCs/>
          <w:szCs w:val="24"/>
        </w:rPr>
        <w:lastRenderedPageBreak/>
        <w:t>Saldo energético da cana-de-açúcar submetida a níveis de fotoproteção e regimes hídricos</w:t>
      </w:r>
    </w:p>
    <w:p w14:paraId="4E7DC703" w14:textId="77777777" w:rsidR="00A259B7" w:rsidRDefault="00A259B7" w:rsidP="001223E9">
      <w:pPr>
        <w:ind w:firstLine="0"/>
        <w:jc w:val="center"/>
        <w:rPr>
          <w:rFonts w:cs="Times New Roman"/>
          <w:szCs w:val="24"/>
        </w:rPr>
      </w:pPr>
    </w:p>
    <w:p w14:paraId="726F0560" w14:textId="0B6C22C0" w:rsidR="00CA3F83" w:rsidRDefault="00CA3F83" w:rsidP="001223E9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RESUMO</w:t>
      </w:r>
    </w:p>
    <w:p w14:paraId="62DB1601" w14:textId="2E470469" w:rsidR="00E03465" w:rsidRPr="002B31C6" w:rsidRDefault="001A285E" w:rsidP="002157A8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Brasil está entre os países </w:t>
      </w:r>
      <w:r w:rsidR="00D75814">
        <w:rPr>
          <w:rFonts w:cs="Times New Roman"/>
          <w:szCs w:val="24"/>
        </w:rPr>
        <w:t>com maior produção de açúcar e etanol da cana-de-açúcar, responsável por 18</w:t>
      </w:r>
      <w:r w:rsidR="00812615">
        <w:rPr>
          <w:rFonts w:cs="Times New Roman"/>
          <w:szCs w:val="24"/>
        </w:rPr>
        <w:t xml:space="preserve">% da produção e 36% do comércio de cana no mundo. </w:t>
      </w:r>
      <w:r w:rsidR="00B94219">
        <w:rPr>
          <w:rFonts w:cs="Times New Roman"/>
          <w:szCs w:val="24"/>
        </w:rPr>
        <w:t>O estado de São Paulo</w:t>
      </w:r>
      <w:r w:rsidR="002055AA">
        <w:rPr>
          <w:rFonts w:cs="Times New Roman"/>
          <w:szCs w:val="24"/>
        </w:rPr>
        <w:t xml:space="preserve"> cultiva mais de 50% da área nacional de ca</w:t>
      </w:r>
      <w:r w:rsidR="00E141BB">
        <w:rPr>
          <w:rFonts w:cs="Times New Roman"/>
          <w:szCs w:val="24"/>
        </w:rPr>
        <w:t xml:space="preserve">na-de-açúcar, com produção de 312,9 milhões de toneladas. Entretanto, o saldo energético não é tão explorado </w:t>
      </w:r>
      <w:r w:rsidR="00C72612">
        <w:rPr>
          <w:rFonts w:cs="Times New Roman"/>
          <w:szCs w:val="24"/>
        </w:rPr>
        <w:t>e divulgado nas redes de comunicação, visto que há grandes discrepância energética entre a produção dos estados e países. Isso está atrelado a</w:t>
      </w:r>
      <w:r w:rsidR="00604984">
        <w:rPr>
          <w:rFonts w:cs="Times New Roman"/>
          <w:szCs w:val="24"/>
        </w:rPr>
        <w:t xml:space="preserve"> energia de insumo em cada canavial e seu retorno. Dessa forma, estudar diferentes manejos e práticas agrícolas </w:t>
      </w:r>
      <w:r w:rsidR="00A630B6">
        <w:rPr>
          <w:rFonts w:cs="Times New Roman"/>
          <w:szCs w:val="24"/>
        </w:rPr>
        <w:t>para determinar ações mais sustentáveis</w:t>
      </w:r>
      <w:r w:rsidR="00242CDE">
        <w:rPr>
          <w:rFonts w:cs="Times New Roman"/>
          <w:szCs w:val="24"/>
        </w:rPr>
        <w:t xml:space="preserve"> e equilibradas é uma alternativa para aumento de saldo energético da cana-de-açúcar. Assim, o objetivo desse trabalho é </w:t>
      </w:r>
      <w:r w:rsidR="005E092C">
        <w:rPr>
          <w:rFonts w:cs="Times New Roman"/>
          <w:szCs w:val="24"/>
        </w:rPr>
        <w:t xml:space="preserve">apresentar o saldo energético de uma cultivar de cana submetida a dois manejos hídricos e três manejos de fotoproteção. Para isso, será executado um experimento no departamento de biossistemas, em </w:t>
      </w:r>
      <w:r w:rsidR="0000570E">
        <w:rPr>
          <w:rFonts w:cs="Times New Roman"/>
          <w:szCs w:val="24"/>
        </w:rPr>
        <w:t>outubro de 2023</w:t>
      </w:r>
      <w:r w:rsidR="00246349">
        <w:rPr>
          <w:rFonts w:cs="Times New Roman"/>
          <w:szCs w:val="24"/>
        </w:rPr>
        <w:t xml:space="preserve"> com a cultivar CTC9002</w:t>
      </w:r>
      <w:r w:rsidR="0000570E">
        <w:rPr>
          <w:rFonts w:cs="Times New Roman"/>
          <w:szCs w:val="24"/>
        </w:rPr>
        <w:t xml:space="preserve">. Em delineamento de blocos casualizados, com quatro repetições e </w:t>
      </w:r>
      <w:r w:rsidR="00246349">
        <w:rPr>
          <w:rFonts w:cs="Times New Roman"/>
          <w:szCs w:val="24"/>
        </w:rPr>
        <w:t>seis</w:t>
      </w:r>
      <w:r w:rsidR="00A13834">
        <w:rPr>
          <w:rFonts w:cs="Times New Roman"/>
          <w:szCs w:val="24"/>
        </w:rPr>
        <w:t xml:space="preserve"> tratamentos, correspondentes a um fatorial duplo, sendo: 2 manejos de irrigação (50 e 100%</w:t>
      </w:r>
      <w:r w:rsidR="00E86D6E">
        <w:rPr>
          <w:rFonts w:cs="Times New Roman"/>
          <w:szCs w:val="24"/>
        </w:rPr>
        <w:t xml:space="preserve"> da água disponível) e três níveis </w:t>
      </w:r>
      <w:r w:rsidR="00E03465" w:rsidRPr="002B31C6">
        <w:rPr>
          <w:rFonts w:cs="Times New Roman"/>
          <w:szCs w:val="24"/>
        </w:rPr>
        <w:t>do fotoprotetor a base de carbonato de cálcio</w:t>
      </w:r>
      <w:r w:rsidR="00E03465">
        <w:rPr>
          <w:rFonts w:cs="Times New Roman"/>
          <w:szCs w:val="24"/>
        </w:rPr>
        <w:t xml:space="preserve">, sem fotoproteção (SF), recomendação do fabricante (RF) e concentrado (PC), </w:t>
      </w:r>
      <w:r w:rsidR="00E03465" w:rsidRPr="002B31C6">
        <w:rPr>
          <w:rFonts w:cs="Times New Roman"/>
          <w:szCs w:val="24"/>
        </w:rPr>
        <w:t xml:space="preserve">soluções a 0, </w:t>
      </w:r>
      <w:r w:rsidR="00FA4605">
        <w:rPr>
          <w:rFonts w:cs="Times New Roman"/>
          <w:szCs w:val="24"/>
        </w:rPr>
        <w:t>3</w:t>
      </w:r>
      <w:r w:rsidR="00E03465" w:rsidRPr="002B31C6">
        <w:rPr>
          <w:rFonts w:cs="Times New Roman"/>
          <w:szCs w:val="24"/>
        </w:rPr>
        <w:t xml:space="preserve"> e </w:t>
      </w:r>
      <w:r w:rsidR="00FA4605">
        <w:rPr>
          <w:rFonts w:cs="Times New Roman"/>
          <w:szCs w:val="24"/>
        </w:rPr>
        <w:t>6%</w:t>
      </w:r>
      <w:r w:rsidR="00E03465">
        <w:rPr>
          <w:rFonts w:cs="Times New Roman"/>
          <w:szCs w:val="24"/>
        </w:rPr>
        <w:t>, respectivamente</w:t>
      </w:r>
      <w:r w:rsidR="00E03465" w:rsidRPr="002B31C6">
        <w:rPr>
          <w:rFonts w:cs="Times New Roman"/>
          <w:szCs w:val="24"/>
        </w:rPr>
        <w:t xml:space="preserve">. </w:t>
      </w:r>
      <w:r w:rsidR="00A259B7">
        <w:rPr>
          <w:rFonts w:cs="Times New Roman"/>
          <w:szCs w:val="24"/>
        </w:rPr>
        <w:t>Com esse estudo, pretende-se alcançar resultados promissores e que torne o cultivo da cana-de-açúcar mais sustentável.</w:t>
      </w:r>
    </w:p>
    <w:p w14:paraId="46D6CA47" w14:textId="09E80480" w:rsidR="00E03465" w:rsidRDefault="00E03465" w:rsidP="00CA3F83">
      <w:pPr>
        <w:ind w:firstLine="0"/>
        <w:rPr>
          <w:rFonts w:cs="Times New Roman"/>
          <w:szCs w:val="24"/>
        </w:rPr>
      </w:pPr>
    </w:p>
    <w:p w14:paraId="05BB74AA" w14:textId="77777777" w:rsidR="00E03465" w:rsidRDefault="00E03465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78616BF" w14:textId="78841EBB" w:rsidR="00625808" w:rsidRPr="002B31C6" w:rsidRDefault="00625808" w:rsidP="00246349">
      <w:pPr>
        <w:pStyle w:val="Ttulo1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lastRenderedPageBreak/>
        <w:t>Introdução</w:t>
      </w:r>
    </w:p>
    <w:p w14:paraId="49E9249D" w14:textId="181F25F2" w:rsidR="00907F08" w:rsidRPr="002B31C6" w:rsidRDefault="00907F08" w:rsidP="002157A8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 xml:space="preserve">A cana-de-açúcar tem origem no Sudeste Asiático, região da Nova Guiné e Indonésia, e posteriormente disseminou-se como produtora de açúcar pelo Oceano Pacífico, na Indochina, no arquipélago da Malásia e na China. Por ser uma planta de clima tropical e com o melhoramento genético, essa cultura tem ampla distribuição geográfica entre as latitudes 35° Norte e 35° Sul. Dentro dessa faixa de ocupação, a cana-de-açúcar é a cultura de maior produção, abrangendo cerca de 100 países (DELGADO; CÉSAR, 1977; DANIELS; ROACH, 1987; FAROOQ; GHEEWALA, 2020). O Brasil está entre os países com maior produção de cana-de-açúcar, responsável por 18% da produção e 36% do comércio de açúcar no mundo. Na safra brasileira de 2022/23 a produção total dessa cultura foi de 610,1 milhões de toneladas. O estado de São Paulo tem destaque na produção, com mais de 50% da área nacional cultivada, produção de 312,9 milhões de toneladas e rendimento médio de 75,4 Mg </w:t>
      </w:r>
      <w:proofErr w:type="spellStart"/>
      <w:r w:rsidRPr="002B31C6">
        <w:rPr>
          <w:rFonts w:cs="Times New Roman"/>
          <w:szCs w:val="24"/>
        </w:rPr>
        <w:t>ha</w:t>
      </w:r>
      <w:proofErr w:type="spellEnd"/>
      <w:r w:rsidRPr="00921D6D">
        <w:rPr>
          <w:rFonts w:cs="Times New Roman"/>
          <w:szCs w:val="24"/>
        </w:rPr>
        <w:t>-1</w:t>
      </w:r>
      <w:r w:rsidRPr="002B31C6">
        <w:rPr>
          <w:rFonts w:cs="Times New Roman"/>
          <w:szCs w:val="24"/>
        </w:rPr>
        <w:t xml:space="preserve"> (CONAB, 2023; VIDAL, 2021).</w:t>
      </w:r>
    </w:p>
    <w:p w14:paraId="725995DA" w14:textId="2B8EF426" w:rsidR="00907F08" w:rsidRPr="002B31C6" w:rsidRDefault="000C47E6" w:rsidP="002157A8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O estado de São Paulo apresenta precipitação</w:t>
      </w:r>
      <w:r w:rsidR="003D75F5" w:rsidRPr="002B31C6">
        <w:rPr>
          <w:rFonts w:cs="Times New Roman"/>
          <w:szCs w:val="24"/>
        </w:rPr>
        <w:t xml:space="preserve"> </w:t>
      </w:r>
      <w:r w:rsidR="00C34467" w:rsidRPr="002B31C6">
        <w:rPr>
          <w:rFonts w:cs="Times New Roman"/>
          <w:szCs w:val="24"/>
        </w:rPr>
        <w:t xml:space="preserve">irregular e má distribuída, com tendência a </w:t>
      </w:r>
      <w:r w:rsidR="000B4352" w:rsidRPr="002B31C6">
        <w:rPr>
          <w:rFonts w:cs="Times New Roman"/>
          <w:szCs w:val="24"/>
        </w:rPr>
        <w:t>maior frequ</w:t>
      </w:r>
      <w:r w:rsidR="008C3EBE" w:rsidRPr="002B31C6">
        <w:rPr>
          <w:rFonts w:cs="Times New Roman"/>
          <w:szCs w:val="24"/>
        </w:rPr>
        <w:t>ê</w:t>
      </w:r>
      <w:r w:rsidR="000B4352" w:rsidRPr="002B31C6">
        <w:rPr>
          <w:rFonts w:cs="Times New Roman"/>
          <w:szCs w:val="24"/>
        </w:rPr>
        <w:t xml:space="preserve">ncia de eventos extremos </w:t>
      </w:r>
      <w:r w:rsidR="008C3EBE" w:rsidRPr="002B31C6">
        <w:rPr>
          <w:rFonts w:cs="Times New Roman"/>
          <w:szCs w:val="24"/>
        </w:rPr>
        <w:t>(PFAHL; O’GORMAN; FISCHER</w:t>
      </w:r>
      <w:r w:rsidR="00405B0D" w:rsidRPr="002B31C6">
        <w:rPr>
          <w:rFonts w:cs="Times New Roman"/>
          <w:szCs w:val="24"/>
        </w:rPr>
        <w:t>, 2017).</w:t>
      </w:r>
      <w:r w:rsidR="00C34467" w:rsidRPr="002B31C6">
        <w:rPr>
          <w:rFonts w:cs="Times New Roman"/>
          <w:szCs w:val="24"/>
        </w:rPr>
        <w:t xml:space="preserve"> </w:t>
      </w:r>
      <w:r w:rsidR="00907F08" w:rsidRPr="002B31C6">
        <w:rPr>
          <w:rFonts w:cs="Times New Roman"/>
          <w:szCs w:val="24"/>
        </w:rPr>
        <w:t>A disponibilidade hídrica afeta diretamente a produtividade das lavouras de cana-de-açúcar (INMAN-BAMBER.; SMITH, 2005), portanto, para aumentar sua produtividade é essencial buscar estratégias que mitiguem os efeitos do déficit hídrico</w:t>
      </w:r>
      <w:r w:rsidR="00D3225B" w:rsidRPr="002B31C6">
        <w:rPr>
          <w:rFonts w:cs="Times New Roman"/>
          <w:szCs w:val="24"/>
        </w:rPr>
        <w:t xml:space="preserve"> e assumam maiores saldos energéticos</w:t>
      </w:r>
      <w:r w:rsidR="00907F08" w:rsidRPr="002B31C6">
        <w:rPr>
          <w:rFonts w:cs="Times New Roman"/>
          <w:szCs w:val="24"/>
        </w:rPr>
        <w:t xml:space="preserve">. </w:t>
      </w:r>
    </w:p>
    <w:p w14:paraId="58B6F370" w14:textId="0705E7BB" w:rsidR="00907F08" w:rsidRPr="002B31C6" w:rsidRDefault="00907F08" w:rsidP="002157A8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Assim, a associação entre o uso da irrigação e estratégias de restrição hídrica planejada auxilia</w:t>
      </w:r>
      <w:r w:rsidR="00DD618D" w:rsidRPr="002B31C6">
        <w:rPr>
          <w:rFonts w:cs="Times New Roman"/>
          <w:szCs w:val="24"/>
        </w:rPr>
        <w:t>m</w:t>
      </w:r>
      <w:r w:rsidRPr="002B31C6">
        <w:rPr>
          <w:rFonts w:cs="Times New Roman"/>
          <w:szCs w:val="24"/>
        </w:rPr>
        <w:t xml:space="preserve"> os produtores de cana-de-açúcar a obter incrementos de produtividade e maiores lucros. O uso de </w:t>
      </w:r>
      <w:proofErr w:type="spellStart"/>
      <w:r w:rsidRPr="002B31C6">
        <w:rPr>
          <w:rFonts w:cs="Times New Roman"/>
          <w:szCs w:val="24"/>
        </w:rPr>
        <w:t>kaolin</w:t>
      </w:r>
      <w:proofErr w:type="spellEnd"/>
      <w:r w:rsidRPr="002B31C6">
        <w:rPr>
          <w:rFonts w:cs="Times New Roman"/>
          <w:szCs w:val="24"/>
        </w:rPr>
        <w:t xml:space="preserve"> como fotoprotetor é uma alternativa de atenuação do déficit hídrico. A fotoproteção reduz danos causados pelo excesso de radiação e elevadas temperaturas (BOARI et al., 2016). Partículas de carbonato de cálcio têm efeito </w:t>
      </w:r>
      <w:r w:rsidRPr="002B31C6">
        <w:rPr>
          <w:rFonts w:cs="Times New Roman"/>
          <w:szCs w:val="24"/>
        </w:rPr>
        <w:lastRenderedPageBreak/>
        <w:t xml:space="preserve">semelhante ao </w:t>
      </w:r>
      <w:proofErr w:type="spellStart"/>
      <w:r w:rsidRPr="002B31C6">
        <w:rPr>
          <w:rFonts w:cs="Times New Roman"/>
          <w:szCs w:val="24"/>
        </w:rPr>
        <w:t>kaolin</w:t>
      </w:r>
      <w:proofErr w:type="spellEnd"/>
      <w:r w:rsidRPr="002B31C6">
        <w:rPr>
          <w:rFonts w:cs="Times New Roman"/>
          <w:szCs w:val="24"/>
        </w:rPr>
        <w:t xml:space="preserve"> na planta, mas com menor impacto ambiental devido à origem atóxica, reduzindo a contaminação do solo (WANG et al., 2015; SILVA et al., 2019). </w:t>
      </w:r>
    </w:p>
    <w:p w14:paraId="7DA5F80F" w14:textId="5059E9EF" w:rsidR="00907F08" w:rsidRPr="002B31C6" w:rsidRDefault="00907F08" w:rsidP="002157A8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 xml:space="preserve">As diferentes formas de manejar a cultura e o uso de produtos que amenizam o estresse hídrico proporcionam efeitos no </w:t>
      </w:r>
      <w:r w:rsidR="004C3524">
        <w:rPr>
          <w:rFonts w:cs="Times New Roman"/>
          <w:szCs w:val="24"/>
        </w:rPr>
        <w:t>rendimento de açúcar e etanol</w:t>
      </w:r>
      <w:r w:rsidRPr="002B31C6">
        <w:rPr>
          <w:rFonts w:cs="Times New Roman"/>
          <w:szCs w:val="24"/>
        </w:rPr>
        <w:t xml:space="preserve"> da</w:t>
      </w:r>
      <w:r w:rsidR="00C9642A">
        <w:rPr>
          <w:rFonts w:cs="Times New Roman"/>
          <w:szCs w:val="24"/>
        </w:rPr>
        <w:t xml:space="preserve"> cana,</w:t>
      </w:r>
      <w:r w:rsidR="00014149">
        <w:rPr>
          <w:rFonts w:cs="Times New Roman"/>
          <w:szCs w:val="24"/>
        </w:rPr>
        <w:t xml:space="preserve"> o que proporciona diferentes sustentabilidades entre os cultivos. </w:t>
      </w:r>
      <w:r w:rsidR="00A80471">
        <w:rPr>
          <w:rFonts w:cs="Times New Roman"/>
          <w:szCs w:val="24"/>
        </w:rPr>
        <w:t>O etanol mais sustentável é aquele que necessita de um</w:t>
      </w:r>
      <w:r w:rsidR="008A2118">
        <w:rPr>
          <w:rFonts w:cs="Times New Roman"/>
          <w:szCs w:val="24"/>
        </w:rPr>
        <w:t>a maior relação entre investimento e retorno energético</w:t>
      </w:r>
      <w:r w:rsidR="00A655D6">
        <w:rPr>
          <w:rFonts w:cs="Times New Roman"/>
          <w:szCs w:val="24"/>
        </w:rPr>
        <w:t xml:space="preserve"> (SILVA, 2013)</w:t>
      </w:r>
      <w:r w:rsidR="008A2118">
        <w:rPr>
          <w:rFonts w:cs="Times New Roman"/>
          <w:szCs w:val="24"/>
        </w:rPr>
        <w:t xml:space="preserve">. </w:t>
      </w:r>
      <w:r w:rsidR="00BD43AC">
        <w:rPr>
          <w:rFonts w:cs="Times New Roman"/>
          <w:szCs w:val="24"/>
        </w:rPr>
        <w:t>Essa relação é denominada de saldo energético</w:t>
      </w:r>
      <w:r w:rsidR="00696503">
        <w:rPr>
          <w:rFonts w:cs="Times New Roman"/>
          <w:szCs w:val="24"/>
        </w:rPr>
        <w:t xml:space="preserve">, que </w:t>
      </w:r>
      <w:r w:rsidR="0049612F">
        <w:rPr>
          <w:rFonts w:cs="Times New Roman"/>
          <w:szCs w:val="24"/>
        </w:rPr>
        <w:t>subtrai</w:t>
      </w:r>
      <w:r w:rsidR="00696503">
        <w:rPr>
          <w:rFonts w:cs="Times New Roman"/>
          <w:szCs w:val="24"/>
        </w:rPr>
        <w:t xml:space="preserve"> toda energia </w:t>
      </w:r>
      <w:r w:rsidR="0049612F">
        <w:rPr>
          <w:rFonts w:cs="Times New Roman"/>
          <w:szCs w:val="24"/>
        </w:rPr>
        <w:t xml:space="preserve">consumida </w:t>
      </w:r>
      <w:r w:rsidR="00FA714B">
        <w:rPr>
          <w:rFonts w:cs="Times New Roman"/>
          <w:szCs w:val="24"/>
        </w:rPr>
        <w:t xml:space="preserve">no processo de produção </w:t>
      </w:r>
      <w:r w:rsidR="0049612F">
        <w:rPr>
          <w:rFonts w:cs="Times New Roman"/>
          <w:szCs w:val="24"/>
        </w:rPr>
        <w:t>pela energ</w:t>
      </w:r>
      <w:r w:rsidR="00FA714B">
        <w:rPr>
          <w:rFonts w:cs="Times New Roman"/>
          <w:szCs w:val="24"/>
        </w:rPr>
        <w:t xml:space="preserve">ia final do produto. </w:t>
      </w:r>
      <w:r w:rsidRPr="002B31C6">
        <w:rPr>
          <w:rFonts w:cs="Times New Roman"/>
          <w:szCs w:val="24"/>
        </w:rPr>
        <w:t>Nesse viés, é necessário o estudo das culturas submetidas a diferentes manejos hídricos e produtos que atenuem o estresse hídrico para melhorar o rendimento</w:t>
      </w:r>
      <w:r w:rsidR="00CC7D1E" w:rsidRPr="002B31C6">
        <w:rPr>
          <w:rFonts w:cs="Times New Roman"/>
          <w:szCs w:val="24"/>
        </w:rPr>
        <w:t>: físico, econômico e energético</w:t>
      </w:r>
      <w:r w:rsidRPr="002B31C6">
        <w:rPr>
          <w:rFonts w:cs="Times New Roman"/>
          <w:szCs w:val="24"/>
        </w:rPr>
        <w:t xml:space="preserve"> das lavouras</w:t>
      </w:r>
      <w:r w:rsidR="00CC7D1E" w:rsidRPr="002B31C6">
        <w:rPr>
          <w:rFonts w:cs="Times New Roman"/>
          <w:szCs w:val="24"/>
        </w:rPr>
        <w:t>.</w:t>
      </w:r>
    </w:p>
    <w:p w14:paraId="328F98E4" w14:textId="7F048D79" w:rsidR="00391CC6" w:rsidRDefault="00391CC6" w:rsidP="002157A8">
      <w:pPr>
        <w:spacing w:after="16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BFB29AC" w14:textId="11896123" w:rsidR="00625808" w:rsidRPr="002B31C6" w:rsidRDefault="00625808" w:rsidP="00246349">
      <w:pPr>
        <w:pStyle w:val="Ttulo1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lastRenderedPageBreak/>
        <w:t>Materiais e métodos</w:t>
      </w:r>
    </w:p>
    <w:p w14:paraId="0813ED05" w14:textId="77777777" w:rsidR="00A85DB0" w:rsidRPr="002B31C6" w:rsidRDefault="00D9312F" w:rsidP="00246349">
      <w:pPr>
        <w:pStyle w:val="Subttulo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 xml:space="preserve"> </w:t>
      </w:r>
      <w:r w:rsidR="00A9388B" w:rsidRPr="002B31C6">
        <w:rPr>
          <w:rFonts w:cs="Times New Roman"/>
          <w:szCs w:val="24"/>
        </w:rPr>
        <w:t>Experimento</w:t>
      </w:r>
    </w:p>
    <w:p w14:paraId="4C9C7574" w14:textId="79F1C69D" w:rsidR="00D3428D" w:rsidRPr="002B31C6" w:rsidRDefault="00D3428D" w:rsidP="00246349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O experimento s</w:t>
      </w:r>
      <w:r w:rsidR="00A95CE7" w:rsidRPr="002B31C6">
        <w:rPr>
          <w:rFonts w:cs="Times New Roman"/>
          <w:szCs w:val="24"/>
        </w:rPr>
        <w:t>erá</w:t>
      </w:r>
      <w:r w:rsidRPr="002B31C6">
        <w:rPr>
          <w:rFonts w:cs="Times New Roman"/>
          <w:szCs w:val="24"/>
        </w:rPr>
        <w:t xml:space="preserve"> conduzido na casa de vegetação do Departamento de Engenharia de Biossistemas da Escola Superior de Agricultura ‘Luiz de Queiroz” – ESALQ/USP, no município de Piracicaba – SP. De acordo com a classificação de Köppen o clima desse município é classificado como “Aw”, clima tropical com inverno seco. As normais climatológicas (1987 - 2016) de precipitação pluvial e temperatura dessa região são: 1.279 mm e 21,7°C, respectivamente. O maior volume de chuva ocorre no mês de Janeiro, com precipitação média, máxima e mínima de 227, 491 e 61 mm. Enquanto os menos volumes precipitados ocorrem nos meses de julho e agosto, com média de 29 mm (ALVARES et al., 2022). </w:t>
      </w:r>
    </w:p>
    <w:p w14:paraId="3A3E9813" w14:textId="1C9E36E1" w:rsidR="00604EDE" w:rsidRPr="002B31C6" w:rsidRDefault="00604EDE" w:rsidP="00246349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 xml:space="preserve">O delineamento experimental será blocos casualizados em esquema fatorial (2 × 3) com </w:t>
      </w:r>
      <w:r w:rsidR="003665AD">
        <w:rPr>
          <w:rFonts w:cs="Times New Roman"/>
          <w:szCs w:val="24"/>
        </w:rPr>
        <w:t xml:space="preserve">oito </w:t>
      </w:r>
      <w:r w:rsidRPr="002B31C6">
        <w:rPr>
          <w:rFonts w:cs="Times New Roman"/>
          <w:szCs w:val="24"/>
        </w:rPr>
        <w:t>repetições. Os tratamentos serão a combinação de duas lâminas de irrigação baseadas na depleção de água no solo</w:t>
      </w:r>
      <w:r w:rsidR="003E23EF">
        <w:rPr>
          <w:rFonts w:cs="Times New Roman"/>
          <w:szCs w:val="24"/>
        </w:rPr>
        <w:t xml:space="preserve">: </w:t>
      </w:r>
      <w:r w:rsidRPr="002B31C6">
        <w:rPr>
          <w:rFonts w:cs="Times New Roman"/>
          <w:szCs w:val="24"/>
        </w:rPr>
        <w:t>100 e 50% da água disponível</w:t>
      </w:r>
      <w:r w:rsidR="003E23EF">
        <w:rPr>
          <w:rFonts w:cs="Times New Roman"/>
          <w:szCs w:val="24"/>
        </w:rPr>
        <w:t>, sem déficit e com déficit hídrico, respectivamente. E</w:t>
      </w:r>
      <w:r w:rsidRPr="002B31C6">
        <w:rPr>
          <w:rFonts w:cs="Times New Roman"/>
          <w:szCs w:val="24"/>
        </w:rPr>
        <w:t xml:space="preserve"> três doses do fotoprotetor a base de carbonato de cálcio</w:t>
      </w:r>
      <w:r w:rsidR="003E23EF">
        <w:rPr>
          <w:rFonts w:cs="Times New Roman"/>
          <w:szCs w:val="24"/>
        </w:rPr>
        <w:t xml:space="preserve">, sem fotoproteção (SF), recomendação do fabricante (RF) e concentrado (PC), </w:t>
      </w:r>
      <w:r w:rsidRPr="002B31C6">
        <w:rPr>
          <w:rFonts w:cs="Times New Roman"/>
          <w:szCs w:val="24"/>
        </w:rPr>
        <w:t xml:space="preserve">soluções a 0%, </w:t>
      </w:r>
      <w:r w:rsidR="003665AD">
        <w:rPr>
          <w:rFonts w:cs="Times New Roman"/>
          <w:szCs w:val="24"/>
        </w:rPr>
        <w:t>3</w:t>
      </w:r>
      <w:r w:rsidRPr="002B31C6">
        <w:rPr>
          <w:rFonts w:cs="Times New Roman"/>
          <w:szCs w:val="24"/>
        </w:rPr>
        <w:t xml:space="preserve">% e </w:t>
      </w:r>
      <w:r w:rsidR="003665AD">
        <w:rPr>
          <w:rFonts w:cs="Times New Roman"/>
          <w:szCs w:val="24"/>
        </w:rPr>
        <w:t>6</w:t>
      </w:r>
      <w:r w:rsidRPr="002B31C6">
        <w:rPr>
          <w:rFonts w:cs="Times New Roman"/>
          <w:szCs w:val="24"/>
        </w:rPr>
        <w:t>%</w:t>
      </w:r>
      <w:r w:rsidR="003E23EF">
        <w:rPr>
          <w:rFonts w:cs="Times New Roman"/>
          <w:szCs w:val="24"/>
        </w:rPr>
        <w:t>, respectivamente</w:t>
      </w:r>
      <w:r w:rsidRPr="002B31C6">
        <w:rPr>
          <w:rFonts w:cs="Times New Roman"/>
          <w:szCs w:val="24"/>
        </w:rPr>
        <w:t xml:space="preserve">. </w:t>
      </w:r>
    </w:p>
    <w:p w14:paraId="0E5CDED5" w14:textId="77777777" w:rsidR="00604EDE" w:rsidRPr="002B31C6" w:rsidRDefault="00604EDE" w:rsidP="00246349">
      <w:pPr>
        <w:rPr>
          <w:rFonts w:cs="Times New Roman"/>
          <w:color w:val="000000"/>
          <w:szCs w:val="24"/>
        </w:rPr>
      </w:pPr>
      <w:r w:rsidRPr="002B31C6">
        <w:rPr>
          <w:rFonts w:cs="Times New Roman"/>
          <w:szCs w:val="24"/>
        </w:rPr>
        <w:t xml:space="preserve">A variedade CTC9002 de cana-de-açúcar foi selecionada para o plantio, realizado na primeira quinzena de outubro de 2023, sendo 4 mudas </w:t>
      </w:r>
      <w:proofErr w:type="spellStart"/>
      <w:r w:rsidRPr="002B31C6">
        <w:rPr>
          <w:rFonts w:cs="Times New Roman"/>
          <w:szCs w:val="24"/>
        </w:rPr>
        <w:t>pré</w:t>
      </w:r>
      <w:proofErr w:type="spellEnd"/>
      <w:r w:rsidRPr="002B31C6">
        <w:rPr>
          <w:rFonts w:cs="Times New Roman"/>
          <w:szCs w:val="24"/>
        </w:rPr>
        <w:t xml:space="preserve">-brotadas por parcela, distribuídas em covas com profundidade de 15 cm, espaçadas de 0,6 m entre mudas e 0,5 m entre fileiras. </w:t>
      </w:r>
      <w:r w:rsidRPr="002B31C6">
        <w:rPr>
          <w:rFonts w:cs="Times New Roman"/>
          <w:color w:val="000000"/>
          <w:szCs w:val="24"/>
        </w:rPr>
        <w:t>Essa variedade apresenta maturação média (colheita de junho a setembro), é apta aos ambientes restritivos (rustica), tolerante à seca, ótimas brotações e alto perfilhamento, assim como, mantém produtividade ao longo dos cortes (CTC, 2021).</w:t>
      </w:r>
    </w:p>
    <w:p w14:paraId="1BDD4143" w14:textId="24C1F3F2" w:rsidR="00604EDE" w:rsidRPr="002B31C6" w:rsidRDefault="00604EDE" w:rsidP="00246349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O solo da área experimental foi classificado como Latossolo Amarelo Distrófico de textura franco-arenosa (</w:t>
      </w:r>
      <w:r w:rsidRPr="002B31C6">
        <w:rPr>
          <w:rFonts w:cs="Times New Roman"/>
          <w:szCs w:val="24"/>
        </w:rPr>
        <w:fldChar w:fldCharType="begin"/>
      </w:r>
      <w:r w:rsidRPr="002B31C6">
        <w:rPr>
          <w:rFonts w:cs="Times New Roman"/>
          <w:szCs w:val="24"/>
        </w:rPr>
        <w:instrText xml:space="preserve"> REF _Ref149736858 \h </w:instrText>
      </w:r>
      <w:r w:rsidR="002B31C6" w:rsidRPr="002B31C6">
        <w:rPr>
          <w:rFonts w:cs="Times New Roman"/>
          <w:szCs w:val="24"/>
        </w:rPr>
        <w:instrText xml:space="preserve"> \* MERGEFORMAT </w:instrText>
      </w:r>
      <w:r w:rsidRPr="002B31C6">
        <w:rPr>
          <w:rFonts w:cs="Times New Roman"/>
          <w:szCs w:val="24"/>
        </w:rPr>
      </w:r>
      <w:r w:rsidRPr="002B31C6">
        <w:rPr>
          <w:rFonts w:cs="Times New Roman"/>
          <w:szCs w:val="24"/>
        </w:rPr>
        <w:fldChar w:fldCharType="separate"/>
      </w:r>
      <w:r w:rsidRPr="002B31C6">
        <w:rPr>
          <w:rFonts w:cs="Times New Roman"/>
          <w:szCs w:val="24"/>
        </w:rPr>
        <w:t xml:space="preserve">Tabela </w:t>
      </w:r>
      <w:r w:rsidRPr="002B31C6">
        <w:rPr>
          <w:rFonts w:cs="Times New Roman"/>
          <w:noProof/>
          <w:szCs w:val="24"/>
        </w:rPr>
        <w:t>1</w:t>
      </w:r>
      <w:r w:rsidRPr="002B31C6">
        <w:rPr>
          <w:rFonts w:cs="Times New Roman"/>
          <w:szCs w:val="24"/>
        </w:rPr>
        <w:fldChar w:fldCharType="end"/>
      </w:r>
      <w:r w:rsidRPr="002B31C6">
        <w:rPr>
          <w:rFonts w:cs="Times New Roman"/>
          <w:szCs w:val="24"/>
        </w:rPr>
        <w:t xml:space="preserve">). A adubação será realizada com base no Boletim 100 </w:t>
      </w:r>
      <w:r w:rsidRPr="002B31C6">
        <w:rPr>
          <w:rFonts w:cs="Times New Roman"/>
          <w:color w:val="000000"/>
          <w:szCs w:val="24"/>
        </w:rPr>
        <w:lastRenderedPageBreak/>
        <w:t xml:space="preserve">(CANTARELLA et al., 2022) </w:t>
      </w:r>
      <w:r w:rsidRPr="002B31C6">
        <w:rPr>
          <w:rFonts w:cs="Times New Roman"/>
          <w:szCs w:val="24"/>
        </w:rPr>
        <w:t>e na análise química do solo (</w:t>
      </w:r>
      <w:r w:rsidRPr="002B31C6">
        <w:rPr>
          <w:rFonts w:cs="Times New Roman"/>
          <w:szCs w:val="24"/>
        </w:rPr>
        <w:fldChar w:fldCharType="begin"/>
      </w:r>
      <w:r w:rsidRPr="002B31C6">
        <w:rPr>
          <w:rFonts w:cs="Times New Roman"/>
          <w:szCs w:val="24"/>
        </w:rPr>
        <w:instrText xml:space="preserve"> REF _Ref149736888 \h </w:instrText>
      </w:r>
      <w:r w:rsidR="002B31C6" w:rsidRPr="002B31C6">
        <w:rPr>
          <w:rFonts w:cs="Times New Roman"/>
          <w:szCs w:val="24"/>
        </w:rPr>
        <w:instrText xml:space="preserve"> \* MERGEFORMAT </w:instrText>
      </w:r>
      <w:r w:rsidRPr="002B31C6">
        <w:rPr>
          <w:rFonts w:cs="Times New Roman"/>
          <w:szCs w:val="24"/>
        </w:rPr>
      </w:r>
      <w:r w:rsidRPr="002B31C6">
        <w:rPr>
          <w:rFonts w:cs="Times New Roman"/>
          <w:szCs w:val="24"/>
        </w:rPr>
        <w:fldChar w:fldCharType="separate"/>
      </w:r>
      <w:r w:rsidRPr="002B31C6">
        <w:rPr>
          <w:rFonts w:cs="Times New Roman"/>
          <w:szCs w:val="24"/>
        </w:rPr>
        <w:t xml:space="preserve">Tabela </w:t>
      </w:r>
      <w:r w:rsidRPr="002B31C6">
        <w:rPr>
          <w:rFonts w:cs="Times New Roman"/>
          <w:noProof/>
          <w:szCs w:val="24"/>
        </w:rPr>
        <w:t>2</w:t>
      </w:r>
      <w:r w:rsidRPr="002B31C6">
        <w:rPr>
          <w:rFonts w:cs="Times New Roman"/>
          <w:szCs w:val="24"/>
        </w:rPr>
        <w:fldChar w:fldCharType="end"/>
      </w:r>
      <w:r w:rsidRPr="002B31C6">
        <w:rPr>
          <w:rFonts w:cs="Times New Roman"/>
          <w:szCs w:val="24"/>
        </w:rPr>
        <w:t xml:space="preserve">), realizada 5 meses antes da instalação do experimento. A adubação será dividida em adubação de fundação e duas de cobertura. A adubação de fundação </w:t>
      </w:r>
      <w:r w:rsidR="00BC0FFE">
        <w:rPr>
          <w:rFonts w:cs="Times New Roman"/>
          <w:szCs w:val="24"/>
        </w:rPr>
        <w:t>será</w:t>
      </w:r>
      <w:r w:rsidRPr="002B31C6">
        <w:rPr>
          <w:rFonts w:cs="Times New Roman"/>
          <w:szCs w:val="24"/>
        </w:rPr>
        <w:t xml:space="preserve"> realizada cinco dias antes do </w:t>
      </w:r>
      <w:proofErr w:type="spellStart"/>
      <w:r w:rsidRPr="002B31C6">
        <w:rPr>
          <w:rFonts w:cs="Times New Roman"/>
          <w:szCs w:val="24"/>
        </w:rPr>
        <w:t>transplantio</w:t>
      </w:r>
      <w:proofErr w:type="spellEnd"/>
      <w:r w:rsidRPr="002B31C6">
        <w:rPr>
          <w:rFonts w:cs="Times New Roman"/>
          <w:szCs w:val="24"/>
        </w:rPr>
        <w:t xml:space="preserve">, depositando no final do sulco: 20 kg </w:t>
      </w:r>
      <w:proofErr w:type="spellStart"/>
      <w:r w:rsidRPr="002B31C6">
        <w:rPr>
          <w:rFonts w:cs="Times New Roman"/>
          <w:szCs w:val="24"/>
        </w:rPr>
        <w:t>ha</w:t>
      </w:r>
      <w:proofErr w:type="spellEnd"/>
      <w:r w:rsidRPr="002B31C6">
        <w:rPr>
          <w:rFonts w:cs="Times New Roman"/>
          <w:szCs w:val="24"/>
          <w:vertAlign w:val="superscript"/>
        </w:rPr>
        <w:t>-1</w:t>
      </w:r>
      <w:r w:rsidRPr="002B31C6">
        <w:rPr>
          <w:rFonts w:cs="Times New Roman"/>
          <w:szCs w:val="24"/>
        </w:rPr>
        <w:t xml:space="preserve"> de ureia (45% de N), 192,6 kg </w:t>
      </w:r>
      <w:proofErr w:type="spellStart"/>
      <w:r w:rsidRPr="002B31C6">
        <w:rPr>
          <w:rFonts w:cs="Times New Roman"/>
          <w:szCs w:val="24"/>
        </w:rPr>
        <w:t>ha</w:t>
      </w:r>
      <w:proofErr w:type="spellEnd"/>
      <w:r w:rsidRPr="002B31C6">
        <w:rPr>
          <w:rFonts w:cs="Times New Roman"/>
          <w:szCs w:val="24"/>
          <w:vertAlign w:val="superscript"/>
        </w:rPr>
        <w:t>-1</w:t>
      </w:r>
      <w:r w:rsidRPr="002B31C6">
        <w:rPr>
          <w:rFonts w:cs="Times New Roman"/>
          <w:szCs w:val="24"/>
        </w:rPr>
        <w:t xml:space="preserve"> de cloreto de potássio (57,8% de K</w:t>
      </w:r>
      <w:r w:rsidRPr="002B31C6">
        <w:rPr>
          <w:rFonts w:cs="Times New Roman"/>
          <w:szCs w:val="24"/>
          <w:vertAlign w:val="subscript"/>
        </w:rPr>
        <w:t>2</w:t>
      </w:r>
      <w:r w:rsidRPr="002B31C6">
        <w:rPr>
          <w:rFonts w:cs="Times New Roman"/>
          <w:szCs w:val="24"/>
        </w:rPr>
        <w:t xml:space="preserve">O) e 212,8 kg </w:t>
      </w:r>
      <w:proofErr w:type="spellStart"/>
      <w:r w:rsidRPr="002B31C6">
        <w:rPr>
          <w:rFonts w:cs="Times New Roman"/>
          <w:szCs w:val="24"/>
        </w:rPr>
        <w:t>ha</w:t>
      </w:r>
      <w:proofErr w:type="spellEnd"/>
      <w:r w:rsidRPr="002B31C6">
        <w:rPr>
          <w:rFonts w:cs="Times New Roman"/>
          <w:szCs w:val="24"/>
          <w:vertAlign w:val="superscript"/>
        </w:rPr>
        <w:t>-1</w:t>
      </w:r>
      <w:r w:rsidRPr="002B31C6">
        <w:rPr>
          <w:rFonts w:cs="Times New Roman"/>
          <w:szCs w:val="24"/>
        </w:rPr>
        <w:t xml:space="preserve"> de fosfato </w:t>
      </w:r>
      <w:proofErr w:type="spellStart"/>
      <w:r w:rsidRPr="002B31C6">
        <w:rPr>
          <w:rFonts w:cs="Times New Roman"/>
          <w:szCs w:val="24"/>
        </w:rPr>
        <w:t>monoamônio</w:t>
      </w:r>
      <w:proofErr w:type="spellEnd"/>
      <w:r w:rsidRPr="002B31C6">
        <w:rPr>
          <w:rFonts w:cs="Times New Roman"/>
          <w:szCs w:val="24"/>
        </w:rPr>
        <w:t xml:space="preserve"> (52% de P</w:t>
      </w:r>
      <w:r w:rsidRPr="002B31C6">
        <w:rPr>
          <w:rFonts w:cs="Times New Roman"/>
          <w:szCs w:val="24"/>
          <w:vertAlign w:val="subscript"/>
        </w:rPr>
        <w:t>2</w:t>
      </w:r>
      <w:r w:rsidRPr="002B31C6">
        <w:rPr>
          <w:rFonts w:cs="Times New Roman"/>
          <w:szCs w:val="24"/>
        </w:rPr>
        <w:t>O</w:t>
      </w:r>
      <w:r w:rsidRPr="002B31C6">
        <w:rPr>
          <w:rFonts w:cs="Times New Roman"/>
          <w:szCs w:val="24"/>
          <w:vertAlign w:val="subscript"/>
        </w:rPr>
        <w:t>5</w:t>
      </w:r>
      <w:r w:rsidRPr="002B31C6">
        <w:rPr>
          <w:rFonts w:cs="Times New Roman"/>
          <w:szCs w:val="24"/>
        </w:rPr>
        <w:t xml:space="preserve"> e 11% de N). As adubações de cobertura </w:t>
      </w:r>
      <w:r w:rsidR="007F482B">
        <w:rPr>
          <w:rFonts w:cs="Times New Roman"/>
          <w:szCs w:val="24"/>
        </w:rPr>
        <w:t>serão</w:t>
      </w:r>
      <w:r w:rsidRPr="002B31C6">
        <w:rPr>
          <w:rFonts w:cs="Times New Roman"/>
          <w:szCs w:val="24"/>
        </w:rPr>
        <w:t xml:space="preserve"> realizadas 30 e 60 dias após o </w:t>
      </w:r>
      <w:proofErr w:type="spellStart"/>
      <w:r w:rsidRPr="002B31C6">
        <w:rPr>
          <w:rFonts w:cs="Times New Roman"/>
          <w:szCs w:val="24"/>
        </w:rPr>
        <w:t>transplantio</w:t>
      </w:r>
      <w:proofErr w:type="spellEnd"/>
      <w:r w:rsidRPr="002B31C6">
        <w:rPr>
          <w:rFonts w:cs="Times New Roman"/>
          <w:szCs w:val="24"/>
        </w:rPr>
        <w:t xml:space="preserve">, distribuindo 22 kg </w:t>
      </w:r>
      <w:proofErr w:type="spellStart"/>
      <w:r w:rsidRPr="002B31C6">
        <w:rPr>
          <w:rFonts w:cs="Times New Roman"/>
          <w:szCs w:val="24"/>
        </w:rPr>
        <w:t>ha</w:t>
      </w:r>
      <w:proofErr w:type="spellEnd"/>
      <w:r w:rsidRPr="002B31C6">
        <w:rPr>
          <w:rFonts w:cs="Times New Roman"/>
          <w:szCs w:val="24"/>
          <w:vertAlign w:val="superscript"/>
        </w:rPr>
        <w:t>-1</w:t>
      </w:r>
      <w:r w:rsidRPr="002B31C6">
        <w:rPr>
          <w:rFonts w:cs="Times New Roman"/>
          <w:szCs w:val="24"/>
        </w:rPr>
        <w:t xml:space="preserve"> de ureia, por adubação, entre as plantas e cobrindo para diminuir as perdas por volatilização.</w:t>
      </w:r>
      <w:bookmarkStart w:id="0" w:name="_heading=h.2et92p0" w:colFirst="0" w:colLast="0"/>
      <w:bookmarkEnd w:id="0"/>
    </w:p>
    <w:p w14:paraId="121D5D71" w14:textId="1698B267" w:rsidR="00604EDE" w:rsidRPr="002B31C6" w:rsidRDefault="00604EDE" w:rsidP="00604EDE">
      <w:pPr>
        <w:pStyle w:val="Legenda"/>
        <w:keepNext/>
        <w:rPr>
          <w:rFonts w:cs="Times New Roman"/>
          <w:szCs w:val="24"/>
        </w:rPr>
      </w:pPr>
      <w:bookmarkStart w:id="1" w:name="_Ref149736858"/>
      <w:r w:rsidRPr="002B31C6">
        <w:rPr>
          <w:rFonts w:cs="Times New Roman"/>
          <w:szCs w:val="24"/>
        </w:rPr>
        <w:t xml:space="preserve">Tabela </w:t>
      </w:r>
      <w:r w:rsidRPr="002B31C6">
        <w:rPr>
          <w:rFonts w:cs="Times New Roman"/>
          <w:szCs w:val="24"/>
        </w:rPr>
        <w:fldChar w:fldCharType="begin"/>
      </w:r>
      <w:r w:rsidRPr="002B31C6">
        <w:rPr>
          <w:rFonts w:cs="Times New Roman"/>
          <w:szCs w:val="24"/>
        </w:rPr>
        <w:instrText xml:space="preserve"> SEQ Tabela \* ARABIC </w:instrText>
      </w:r>
      <w:r w:rsidRPr="002B31C6">
        <w:rPr>
          <w:rFonts w:cs="Times New Roman"/>
          <w:szCs w:val="24"/>
        </w:rPr>
        <w:fldChar w:fldCharType="separate"/>
      </w:r>
      <w:r w:rsidR="007A2B66">
        <w:rPr>
          <w:rFonts w:cs="Times New Roman"/>
          <w:noProof/>
          <w:szCs w:val="24"/>
        </w:rPr>
        <w:t>1</w:t>
      </w:r>
      <w:r w:rsidRPr="002B31C6">
        <w:rPr>
          <w:rFonts w:cs="Times New Roman"/>
          <w:noProof/>
          <w:szCs w:val="24"/>
        </w:rPr>
        <w:fldChar w:fldCharType="end"/>
      </w:r>
      <w:bookmarkEnd w:id="1"/>
      <w:r w:rsidRPr="002B31C6">
        <w:rPr>
          <w:rFonts w:cs="Times New Roman"/>
          <w:szCs w:val="24"/>
        </w:rPr>
        <w:t>. Atributos físicos do solo da área experimental.</w:t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604EDE" w:rsidRPr="002B31C6" w14:paraId="0A06A3BC" w14:textId="77777777" w:rsidTr="00AC649C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7113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Camada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A226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Areia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40C8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Silte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FC3D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Argila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AA37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FC23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Ksat*</w:t>
            </w:r>
          </w:p>
        </w:tc>
      </w:tr>
      <w:tr w:rsidR="00604EDE" w:rsidRPr="002B31C6" w14:paraId="507C945D" w14:textId="77777777" w:rsidTr="00AC64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0EA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cm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0991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F024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g cm³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87A4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cm h-1</w:t>
            </w:r>
          </w:p>
        </w:tc>
      </w:tr>
      <w:tr w:rsidR="00604EDE" w:rsidRPr="002B31C6" w14:paraId="13A60781" w14:textId="77777777" w:rsidTr="00AC64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A24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0-20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611B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72,95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10953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77B0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802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1,54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A4B44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4,45</w:t>
            </w:r>
          </w:p>
        </w:tc>
      </w:tr>
      <w:tr w:rsidR="00604EDE" w:rsidRPr="002B31C6" w14:paraId="17D78A84" w14:textId="77777777" w:rsidTr="00AC649C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9A4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963F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67,98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EF04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374F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96C8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1,66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DF62A0" w14:textId="77777777" w:rsidR="00604EDE" w:rsidRPr="002B31C6" w:rsidRDefault="00604EDE" w:rsidP="00AC649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</w:p>
        </w:tc>
      </w:tr>
    </w:tbl>
    <w:p w14:paraId="42E99D21" w14:textId="77777777" w:rsidR="00604EDE" w:rsidRPr="002B31C6" w:rsidRDefault="00604EDE" w:rsidP="00604EDE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*Densidade aparente (Da), condutividade hidráulica do solo saturado (Ksat).</w:t>
      </w:r>
    </w:p>
    <w:p w14:paraId="173DD727" w14:textId="5C2BF987" w:rsidR="00604EDE" w:rsidRPr="002B31C6" w:rsidRDefault="00604EDE" w:rsidP="00604EDE">
      <w:pPr>
        <w:pStyle w:val="Legenda"/>
        <w:keepNext/>
        <w:rPr>
          <w:rFonts w:cs="Times New Roman"/>
          <w:szCs w:val="24"/>
        </w:rPr>
      </w:pPr>
      <w:bookmarkStart w:id="2" w:name="_heading=h.tyjcwt" w:colFirst="0" w:colLast="0"/>
      <w:bookmarkStart w:id="3" w:name="_Ref149736888"/>
      <w:bookmarkEnd w:id="2"/>
      <w:r w:rsidRPr="002B31C6">
        <w:rPr>
          <w:rFonts w:cs="Times New Roman"/>
          <w:szCs w:val="24"/>
        </w:rPr>
        <w:t xml:space="preserve">Tabela </w:t>
      </w:r>
      <w:r w:rsidRPr="002B31C6">
        <w:rPr>
          <w:rFonts w:cs="Times New Roman"/>
          <w:szCs w:val="24"/>
        </w:rPr>
        <w:fldChar w:fldCharType="begin"/>
      </w:r>
      <w:r w:rsidRPr="002B31C6">
        <w:rPr>
          <w:rFonts w:cs="Times New Roman"/>
          <w:szCs w:val="24"/>
        </w:rPr>
        <w:instrText xml:space="preserve"> SEQ Tabela \* ARABIC </w:instrText>
      </w:r>
      <w:r w:rsidRPr="002B31C6">
        <w:rPr>
          <w:rFonts w:cs="Times New Roman"/>
          <w:szCs w:val="24"/>
        </w:rPr>
        <w:fldChar w:fldCharType="separate"/>
      </w:r>
      <w:r w:rsidR="007A2B66">
        <w:rPr>
          <w:rFonts w:cs="Times New Roman"/>
          <w:noProof/>
          <w:szCs w:val="24"/>
        </w:rPr>
        <w:t>2</w:t>
      </w:r>
      <w:r w:rsidRPr="002B31C6">
        <w:rPr>
          <w:rFonts w:cs="Times New Roman"/>
          <w:noProof/>
          <w:szCs w:val="24"/>
        </w:rPr>
        <w:fldChar w:fldCharType="end"/>
      </w:r>
      <w:bookmarkEnd w:id="3"/>
      <w:r w:rsidRPr="002B31C6">
        <w:rPr>
          <w:rFonts w:cs="Times New Roman"/>
          <w:szCs w:val="24"/>
        </w:rPr>
        <w:t>. Resultados da análise química do solo da área experimental, nas profundidades de 0,00 a 0,20 m e 0,20 a 0,40 m.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2"/>
        <w:gridCol w:w="992"/>
        <w:gridCol w:w="618"/>
        <w:gridCol w:w="690"/>
        <w:gridCol w:w="705"/>
        <w:gridCol w:w="705"/>
        <w:gridCol w:w="705"/>
        <w:gridCol w:w="705"/>
        <w:gridCol w:w="705"/>
        <w:gridCol w:w="554"/>
        <w:gridCol w:w="849"/>
      </w:tblGrid>
      <w:tr w:rsidR="00604EDE" w:rsidRPr="002B31C6" w14:paraId="18B53CB6" w14:textId="77777777" w:rsidTr="00AC649C">
        <w:trPr>
          <w:trHeight w:val="330"/>
          <w:jc w:val="center"/>
        </w:trPr>
        <w:tc>
          <w:tcPr>
            <w:tcW w:w="414" w:type="pct"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A73B6A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Prof.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33FDF1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pH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9A1BA06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P</w:t>
            </w: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C6A7037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Ca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A5FC760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Mg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7055BD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95FF6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SB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474517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Al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D66E2EF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H+Al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1C98FB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CTC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25AAD4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V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75219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M.O</w:t>
            </w:r>
          </w:p>
        </w:tc>
      </w:tr>
      <w:tr w:rsidR="00604EDE" w:rsidRPr="002B31C6" w14:paraId="19BE775B" w14:textId="77777777" w:rsidTr="00AC649C">
        <w:trPr>
          <w:trHeight w:val="375"/>
          <w:jc w:val="center"/>
        </w:trPr>
        <w:tc>
          <w:tcPr>
            <w:tcW w:w="414" w:type="pct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BE6CB5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cm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FE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CC2E1" w14:textId="77777777" w:rsidR="00604EDE" w:rsidRPr="002B31C6" w:rsidRDefault="00604EDE" w:rsidP="00AC649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mg dm</w:t>
            </w:r>
            <w:r w:rsidRPr="002B31C6">
              <w:rPr>
                <w:rFonts w:eastAsia="Times New Roman" w:cs="Times New Roman"/>
                <w:color w:val="000000"/>
                <w:kern w:val="0"/>
                <w:szCs w:val="24"/>
                <w:vertAlign w:val="superscript"/>
                <w:lang w:eastAsia="pt-BR"/>
                <w14:ligatures w14:val="none"/>
              </w:rPr>
              <w:t>-3</w:t>
            </w:r>
          </w:p>
        </w:tc>
        <w:tc>
          <w:tcPr>
            <w:tcW w:w="2845" w:type="pct"/>
            <w:gridSpan w:val="7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64CD70E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----------------------  mmolc dm</w:t>
            </w:r>
            <w:r w:rsidRPr="002B31C6">
              <w:rPr>
                <w:rFonts w:eastAsia="Times New Roman" w:cs="Times New Roman"/>
                <w:color w:val="000000"/>
                <w:kern w:val="0"/>
                <w:szCs w:val="24"/>
                <w:vertAlign w:val="superscript"/>
                <w:lang w:eastAsia="pt-BR"/>
                <w14:ligatures w14:val="none"/>
              </w:rPr>
              <w:t>-3</w:t>
            </w: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 xml:space="preserve">  -----------------------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2F918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7AF2B9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g dm</w:t>
            </w:r>
            <w:r w:rsidRPr="002B31C6">
              <w:rPr>
                <w:rFonts w:eastAsia="Times New Roman" w:cs="Times New Roman"/>
                <w:color w:val="000000"/>
                <w:kern w:val="0"/>
                <w:szCs w:val="24"/>
                <w:vertAlign w:val="superscript"/>
                <w:lang w:eastAsia="pt-BR"/>
                <w14:ligatures w14:val="none"/>
              </w:rPr>
              <w:t>-3</w:t>
            </w:r>
          </w:p>
        </w:tc>
      </w:tr>
      <w:tr w:rsidR="00604EDE" w:rsidRPr="002B31C6" w14:paraId="592C4448" w14:textId="77777777" w:rsidTr="00AC649C">
        <w:trPr>
          <w:trHeight w:val="315"/>
          <w:jc w:val="center"/>
        </w:trPr>
        <w:tc>
          <w:tcPr>
            <w:tcW w:w="41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AF590D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00-20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C3279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5,5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D33D6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8E84974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19,8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256AC3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219F2AD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2,06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87FCD3B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29,2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9F15057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&lt;0,1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9A3CF68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588C4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46,6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0AE5F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255B4B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10</w:t>
            </w:r>
          </w:p>
        </w:tc>
      </w:tr>
      <w:tr w:rsidR="00604EDE" w:rsidRPr="002B31C6" w14:paraId="6A55AC22" w14:textId="77777777" w:rsidTr="00AC649C">
        <w:trPr>
          <w:trHeight w:val="315"/>
          <w:jc w:val="center"/>
        </w:trPr>
        <w:tc>
          <w:tcPr>
            <w:tcW w:w="414" w:type="pct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244578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20-40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DF6415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5,4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F0F6BBF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DA54A5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21,4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922B2AB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4,3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2D1EB7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2,71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002F19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28,4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31B72AC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&lt;0,1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F0B3135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22,7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B6BC0DA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51,1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D25C1D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424942F" w14:textId="77777777" w:rsidR="00604EDE" w:rsidRPr="002B31C6" w:rsidRDefault="00604EDE" w:rsidP="00AC64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2B31C6">
              <w:rPr>
                <w:rFonts w:eastAsia="Times New Roman" w:cs="Times New Roman"/>
                <w:color w:val="000000"/>
                <w:kern w:val="0"/>
                <w:szCs w:val="24"/>
                <w:lang w:eastAsia="pt-BR"/>
                <w14:ligatures w14:val="none"/>
              </w:rPr>
              <w:t>14,3</w:t>
            </w:r>
          </w:p>
        </w:tc>
      </w:tr>
    </w:tbl>
    <w:p w14:paraId="73B9851E" w14:textId="77777777" w:rsidR="00604EDE" w:rsidRPr="002B31C6" w:rsidRDefault="00604EDE" w:rsidP="00604EDE">
      <w:pPr>
        <w:spacing w:line="240" w:lineRule="auto"/>
        <w:ind w:firstLine="0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Nota</w:t>
      </w:r>
      <w:r w:rsidRPr="002B31C6">
        <w:rPr>
          <w:rFonts w:cs="Times New Roman"/>
          <w:szCs w:val="24"/>
          <w:vertAlign w:val="superscript"/>
        </w:rPr>
        <w:t>1</w:t>
      </w:r>
      <w:r w:rsidRPr="002B31C6">
        <w:rPr>
          <w:rFonts w:cs="Times New Roman"/>
          <w:szCs w:val="24"/>
        </w:rPr>
        <w:t>:Metodologia Embrapa; Extratores: CaCl</w:t>
      </w:r>
      <w:r w:rsidRPr="002B31C6">
        <w:rPr>
          <w:rFonts w:cs="Times New Roman"/>
          <w:szCs w:val="24"/>
          <w:vertAlign w:val="subscript"/>
        </w:rPr>
        <w:t>2</w:t>
      </w:r>
      <w:r w:rsidRPr="002B31C6">
        <w:rPr>
          <w:rFonts w:cs="Times New Roman"/>
          <w:szCs w:val="24"/>
        </w:rPr>
        <w:t xml:space="preserve"> (pH); Mehlich (P, K, Na, Fe, Cu, Zn, Mn); KCl (Ca, Mg e Al); Oxidação (C); Acetato de Cálcio (H+Al); B (HCl); Sulfato de Cálcio (S); Cálculos: S.B=Ca+Mg+Na+K; CTC=S.B+(H+Al); V%=(S.B/CTC)*100. </w:t>
      </w:r>
    </w:p>
    <w:p w14:paraId="2F34B7E6" w14:textId="77777777" w:rsidR="00604EDE" w:rsidRPr="002B31C6" w:rsidRDefault="00604EDE" w:rsidP="00604EDE">
      <w:pPr>
        <w:spacing w:line="240" w:lineRule="auto"/>
        <w:ind w:firstLine="0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Nota</w:t>
      </w:r>
      <w:r w:rsidRPr="002B31C6">
        <w:rPr>
          <w:rFonts w:cs="Times New Roman"/>
          <w:szCs w:val="24"/>
          <w:vertAlign w:val="superscript"/>
        </w:rPr>
        <w:t>2</w:t>
      </w:r>
      <w:r w:rsidRPr="002B31C6">
        <w:rPr>
          <w:rFonts w:cs="Times New Roman"/>
          <w:szCs w:val="24"/>
        </w:rPr>
        <w:t>:Metodologia: IAC; Extratores: Resina (P).</w:t>
      </w:r>
    </w:p>
    <w:p w14:paraId="67AC07C9" w14:textId="5703ECB3" w:rsidR="00D0406B" w:rsidRPr="002B31C6" w:rsidRDefault="00D0406B" w:rsidP="00D0406B">
      <w:pPr>
        <w:rPr>
          <w:rFonts w:cs="Times New Roman"/>
          <w:szCs w:val="24"/>
        </w:rPr>
      </w:pPr>
    </w:p>
    <w:p w14:paraId="149E3F59" w14:textId="72F3C0CD" w:rsidR="00582F6E" w:rsidRPr="002B31C6" w:rsidRDefault="00582F6E" w:rsidP="00246349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A irrigação será realizada com um sistema de gotejamento (Figura 4) com fitas gotejadoras autocompensantes, com espaçamento de 0,20 m entre emissores, vazão nominal de 1,6 Lh</w:t>
      </w:r>
      <w:r w:rsidRPr="002B31C6">
        <w:rPr>
          <w:rFonts w:cs="Times New Roman"/>
          <w:szCs w:val="24"/>
          <w:vertAlign w:val="superscript"/>
        </w:rPr>
        <w:t>-1</w:t>
      </w:r>
      <w:r w:rsidRPr="002B31C6">
        <w:rPr>
          <w:rFonts w:cs="Times New Roman"/>
          <w:szCs w:val="24"/>
        </w:rPr>
        <w:t xml:space="preserve"> e pressão de serviço de 100 kPa. Em cada parcela serão colocadas duas fitas gotejadoras de 1,3 m, espaçadas a 0,5 m, totalizando 12 emissores por unidade experimental (19,2 L h</w:t>
      </w:r>
      <w:r w:rsidRPr="002B31C6">
        <w:rPr>
          <w:rFonts w:cs="Times New Roman"/>
          <w:szCs w:val="24"/>
          <w:vertAlign w:val="superscript"/>
        </w:rPr>
        <w:t>-1</w:t>
      </w:r>
      <w:r w:rsidRPr="002B31C6">
        <w:rPr>
          <w:rFonts w:cs="Times New Roman"/>
          <w:szCs w:val="24"/>
        </w:rPr>
        <w:t xml:space="preserve">). A intensidade de aplicação desse sistema corresponde a 13,4 </w:t>
      </w:r>
      <w:r w:rsidRPr="002B31C6">
        <w:rPr>
          <w:rFonts w:cs="Times New Roman"/>
          <w:szCs w:val="24"/>
        </w:rPr>
        <w:lastRenderedPageBreak/>
        <w:t>mm h</w:t>
      </w:r>
      <w:r w:rsidRPr="002B31C6">
        <w:rPr>
          <w:rFonts w:cs="Times New Roman"/>
          <w:szCs w:val="24"/>
          <w:vertAlign w:val="superscript"/>
        </w:rPr>
        <w:t xml:space="preserve">-1, </w:t>
      </w:r>
      <w:r w:rsidRPr="002B31C6">
        <w:rPr>
          <w:rFonts w:cs="Times New Roman"/>
          <w:szCs w:val="24"/>
        </w:rPr>
        <w:t xml:space="preserve">essa variável será correlacionada com o tempo de funcionamento do motor-bomba para cada tratamento de reposição hídrica. </w:t>
      </w:r>
    </w:p>
    <w:p w14:paraId="15F1046A" w14:textId="3F9514D1" w:rsidR="00582F6E" w:rsidRDefault="00582F6E" w:rsidP="00246349">
      <w:pPr>
        <w:rPr>
          <w:rFonts w:cs="Times New Roman"/>
          <w:szCs w:val="24"/>
        </w:rPr>
      </w:pPr>
      <w:bookmarkStart w:id="4" w:name="_heading=h.1t3h5sf" w:colFirst="0" w:colLast="0"/>
      <w:bookmarkEnd w:id="4"/>
      <w:r w:rsidRPr="002B31C6">
        <w:rPr>
          <w:rFonts w:cs="Times New Roman"/>
          <w:szCs w:val="24"/>
        </w:rPr>
        <w:t xml:space="preserve">O manejo da irrigação </w:t>
      </w:r>
      <w:r w:rsidR="007F482B">
        <w:rPr>
          <w:rFonts w:cs="Times New Roman"/>
          <w:szCs w:val="24"/>
        </w:rPr>
        <w:t>será</w:t>
      </w:r>
      <w:r w:rsidRPr="002B31C6">
        <w:rPr>
          <w:rFonts w:cs="Times New Roman"/>
          <w:szCs w:val="24"/>
        </w:rPr>
        <w:t xml:space="preserve"> realizado por meio do monitoramento do potencial matricial de água no solo (Ψ</w:t>
      </w:r>
      <w:r w:rsidRPr="002B31C6">
        <w:rPr>
          <w:rFonts w:cs="Times New Roman"/>
          <w:szCs w:val="24"/>
          <w:vertAlign w:val="subscript"/>
        </w:rPr>
        <w:t>m</w:t>
      </w:r>
      <w:r w:rsidRPr="002B31C6">
        <w:rPr>
          <w:rFonts w:cs="Times New Roman"/>
          <w:szCs w:val="24"/>
        </w:rPr>
        <w:t xml:space="preserve">, kPa), medido por tensiômetros instalados a 10 cm das touceiras, nas camadas de 0-0,2 e 0,2-0,4m. Os dados </w:t>
      </w:r>
      <w:r w:rsidR="007F482B">
        <w:rPr>
          <w:rFonts w:cs="Times New Roman"/>
          <w:szCs w:val="24"/>
        </w:rPr>
        <w:t>serão</w:t>
      </w:r>
      <w:r w:rsidRPr="002B31C6">
        <w:rPr>
          <w:rFonts w:cs="Times New Roman"/>
          <w:szCs w:val="24"/>
        </w:rPr>
        <w:t xml:space="preserve"> coletados com um tensímetro digital de punção e transformados em potencial matricial da água no solo (h), conforme a Equação </w:t>
      </w:r>
      <w:r w:rsidR="0009180E">
        <w:rPr>
          <w:rFonts w:cs="Times New Roman"/>
          <w:szCs w:val="24"/>
        </w:rPr>
        <w:t>1</w:t>
      </w:r>
      <w:r w:rsidRPr="002B31C6">
        <w:rPr>
          <w:rFonts w:cs="Times New Roman"/>
          <w:szCs w:val="24"/>
        </w:rPr>
        <w:t xml:space="preserve">. A umidade volumétrica das duas camadas será determinada através da Equação de Van </w:t>
      </w:r>
      <w:proofErr w:type="spellStart"/>
      <w:r w:rsidRPr="002B31C6">
        <w:rPr>
          <w:rFonts w:cs="Times New Roman"/>
          <w:szCs w:val="24"/>
        </w:rPr>
        <w:t>Genuchten</w:t>
      </w:r>
      <w:proofErr w:type="spellEnd"/>
      <w:r w:rsidRPr="002B31C6">
        <w:rPr>
          <w:rFonts w:cs="Times New Roman"/>
          <w:szCs w:val="24"/>
        </w:rPr>
        <w:t xml:space="preserve"> (SEKI; TORIDE; VAN GENUCHTEN, 2023).</w:t>
      </w:r>
    </w:p>
    <w:p w14:paraId="7B886DE5" w14:textId="77777777" w:rsidR="002157A8" w:rsidRPr="002B31C6" w:rsidRDefault="002157A8" w:rsidP="00246349">
      <w:pPr>
        <w:rPr>
          <w:rFonts w:cs="Times New Roman"/>
          <w:szCs w:val="24"/>
        </w:rPr>
      </w:pPr>
    </w:p>
    <w:tbl>
      <w:tblPr>
        <w:tblW w:w="89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582F6E" w:rsidRPr="002B31C6" w14:paraId="6E674383" w14:textId="77777777" w:rsidTr="00AC649C">
        <w:tc>
          <w:tcPr>
            <w:tcW w:w="4489" w:type="dxa"/>
          </w:tcPr>
          <w:p w14:paraId="5A430A22" w14:textId="77777777" w:rsidR="00582F6E" w:rsidRPr="002B31C6" w:rsidRDefault="00582F6E" w:rsidP="00246349">
            <w:pPr>
              <w:rPr>
                <w:rFonts w:eastAsia="Cambria Math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4"/>
                  </w:rPr>
                  <m:t>h</m:t>
                </m:r>
                <m:r>
                  <w:rPr>
                    <w:rFonts w:ascii="Cambria Math" w:eastAsia="Cambria Math" w:hAns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489" w:type="dxa"/>
          </w:tcPr>
          <w:p w14:paraId="58E899F5" w14:textId="537E8DF5" w:rsidR="00582F6E" w:rsidRPr="002B31C6" w:rsidRDefault="00582F6E" w:rsidP="00246349">
            <w:pPr>
              <w:ind w:left="3453" w:firstLine="0"/>
              <w:jc w:val="right"/>
              <w:rPr>
                <w:rFonts w:cs="Times New Roman"/>
                <w:szCs w:val="24"/>
              </w:rPr>
            </w:pPr>
            <w:r w:rsidRPr="002B31C6">
              <w:rPr>
                <w:rFonts w:cs="Times New Roman"/>
                <w:szCs w:val="24"/>
              </w:rPr>
              <w:t>(</w:t>
            </w:r>
            <w:bookmarkStart w:id="5" w:name="bookmark=id.4d34og8" w:colFirst="0" w:colLast="0"/>
            <w:bookmarkEnd w:id="5"/>
            <w:r w:rsidR="0009180E">
              <w:rPr>
                <w:rFonts w:cs="Times New Roman"/>
                <w:szCs w:val="24"/>
              </w:rPr>
              <w:t>1</w:t>
            </w:r>
            <w:r w:rsidRPr="002B31C6">
              <w:rPr>
                <w:rFonts w:cs="Times New Roman"/>
                <w:szCs w:val="24"/>
              </w:rPr>
              <w:t>)</w:t>
            </w:r>
          </w:p>
        </w:tc>
      </w:tr>
      <w:tr w:rsidR="002157A8" w:rsidRPr="002B31C6" w14:paraId="1DAF1705" w14:textId="77777777" w:rsidTr="00AC649C">
        <w:tc>
          <w:tcPr>
            <w:tcW w:w="4489" w:type="dxa"/>
          </w:tcPr>
          <w:p w14:paraId="2ACB7DD1" w14:textId="77777777" w:rsidR="002157A8" w:rsidRDefault="002157A8" w:rsidP="0024634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489" w:type="dxa"/>
          </w:tcPr>
          <w:p w14:paraId="5BA680FB" w14:textId="77777777" w:rsidR="002157A8" w:rsidRPr="002B31C6" w:rsidRDefault="002157A8" w:rsidP="00246349">
            <w:pPr>
              <w:ind w:left="3453"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0A95EDEE" w14:textId="77777777" w:rsidR="00582F6E" w:rsidRPr="002B31C6" w:rsidRDefault="00582F6E" w:rsidP="00246349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 xml:space="preserve">Em que: h é o potencial matricial da água no solo (kPa); </w:t>
      </w:r>
      <w:proofErr w:type="spellStart"/>
      <w:r w:rsidRPr="002B31C6">
        <w:rPr>
          <w:rFonts w:cs="Times New Roman"/>
          <w:szCs w:val="24"/>
        </w:rPr>
        <w:t>L</w:t>
      </w:r>
      <w:r w:rsidRPr="002B31C6">
        <w:rPr>
          <w:rFonts w:cs="Times New Roman"/>
          <w:szCs w:val="24"/>
          <w:vertAlign w:val="subscript"/>
        </w:rPr>
        <w:t>t</w:t>
      </w:r>
      <w:proofErr w:type="spellEnd"/>
      <w:r w:rsidRPr="002B31C6">
        <w:rPr>
          <w:rFonts w:cs="Times New Roman"/>
          <w:szCs w:val="24"/>
        </w:rPr>
        <w:t>: leitura do tensiômetro (kPa) e h</w:t>
      </w:r>
      <w:r w:rsidRPr="002B31C6">
        <w:rPr>
          <w:rFonts w:cs="Times New Roman"/>
          <w:szCs w:val="24"/>
          <w:vertAlign w:val="subscript"/>
        </w:rPr>
        <w:t>c</w:t>
      </w:r>
      <w:r w:rsidRPr="002B31C6">
        <w:rPr>
          <w:rFonts w:cs="Times New Roman"/>
          <w:szCs w:val="24"/>
        </w:rPr>
        <w:t xml:space="preserve"> corresponde a pressão equivalente à altura da coluna d’água no tensiômetro (kPa), 3 e 5 kPa, respectivos às profundidades 0-0,2 e 0,2-0,4 m.</w:t>
      </w:r>
    </w:p>
    <w:p w14:paraId="1EB4329C" w14:textId="7EDB88DA" w:rsidR="00D11B61" w:rsidRDefault="00582F6E" w:rsidP="00246349">
      <w:p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O fotoprotetor à base de carbonato de cálcio foi aplicado mensalmente a partir da fase 3 de desenvolvimento da cultura (crescimento), visto que antes dessa fase não há área foliar significativa para proteção. A aplicação foi realizada com o auxílio de uma bomba de 5 L, por volta das 10:00 h, realizando as diluições para os três tratamentos: 0%, 6% e 12% do produto em água.</w:t>
      </w:r>
    </w:p>
    <w:p w14:paraId="049C4162" w14:textId="06091E15" w:rsidR="00D24CE4" w:rsidRDefault="00856661" w:rsidP="0024634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produtividade de etanol </w:t>
      </w:r>
      <w:r w:rsidR="0099769C">
        <w:rPr>
          <w:rFonts w:cs="Times New Roman"/>
          <w:szCs w:val="24"/>
        </w:rPr>
        <w:t xml:space="preserve">(L </w:t>
      </w:r>
      <w:proofErr w:type="gramStart"/>
      <w:r w:rsidR="0099769C">
        <w:rPr>
          <w:rFonts w:cs="Times New Roman"/>
          <w:szCs w:val="24"/>
        </w:rPr>
        <w:t>ha</w:t>
      </w:r>
      <w:proofErr w:type="gramEnd"/>
      <w:r w:rsidR="0099769C" w:rsidRPr="0099769C">
        <w:rPr>
          <w:rFonts w:cs="Times New Roman"/>
          <w:szCs w:val="24"/>
          <w:vertAlign w:val="superscript"/>
        </w:rPr>
        <w:noBreakHyphen/>
        <w:t>1</w:t>
      </w:r>
      <w:r w:rsidR="0099769C">
        <w:rPr>
          <w:rFonts w:cs="Times New Roman"/>
          <w:szCs w:val="24"/>
        </w:rPr>
        <w:t xml:space="preserve">) será obtida através da </w:t>
      </w:r>
      <w:r w:rsidR="00634C28">
        <w:rPr>
          <w:rFonts w:cs="Times New Roman"/>
          <w:szCs w:val="24"/>
        </w:rPr>
        <w:t xml:space="preserve">extrapolação da </w:t>
      </w:r>
      <w:r w:rsidR="0099769C">
        <w:rPr>
          <w:rFonts w:cs="Times New Roman"/>
          <w:szCs w:val="24"/>
        </w:rPr>
        <w:t>produção</w:t>
      </w:r>
      <w:r w:rsidR="00634C28">
        <w:rPr>
          <w:rFonts w:cs="Times New Roman"/>
          <w:szCs w:val="24"/>
        </w:rPr>
        <w:t xml:space="preserve"> total da parcela (1,1 x 1,3m) para 1 hectare. </w:t>
      </w:r>
      <w:r w:rsidR="00821CB7">
        <w:rPr>
          <w:rFonts w:cs="Times New Roman"/>
          <w:szCs w:val="24"/>
        </w:rPr>
        <w:t xml:space="preserve">O etanol será extraído do caldo da cana-de-açúcar conforme a metodologia de </w:t>
      </w:r>
      <w:r w:rsidR="006D7386">
        <w:rPr>
          <w:rFonts w:cs="Times New Roman"/>
          <w:szCs w:val="24"/>
        </w:rPr>
        <w:t>Lopes</w:t>
      </w:r>
      <w:r w:rsidR="00AB3DFA">
        <w:rPr>
          <w:rFonts w:cs="Times New Roman"/>
          <w:szCs w:val="24"/>
        </w:rPr>
        <w:t xml:space="preserve"> &amp;</w:t>
      </w:r>
      <w:r w:rsidR="006D7386">
        <w:rPr>
          <w:rFonts w:cs="Times New Roman"/>
          <w:szCs w:val="24"/>
        </w:rPr>
        <w:t xml:space="preserve"> Borges (2009)</w:t>
      </w:r>
      <w:r w:rsidR="00E076A5">
        <w:rPr>
          <w:rFonts w:cs="Times New Roman"/>
          <w:szCs w:val="24"/>
        </w:rPr>
        <w:t xml:space="preserve">, </w:t>
      </w:r>
      <w:r w:rsidR="00103F3F">
        <w:rPr>
          <w:rFonts w:cs="Times New Roman"/>
          <w:szCs w:val="24"/>
        </w:rPr>
        <w:t xml:space="preserve">resumida na </w:t>
      </w:r>
      <w:r w:rsidR="000F64D5">
        <w:rPr>
          <w:rFonts w:cs="Times New Roman"/>
          <w:szCs w:val="24"/>
        </w:rPr>
        <w:fldChar w:fldCharType="begin"/>
      </w:r>
      <w:r w:rsidR="000F64D5">
        <w:rPr>
          <w:rFonts w:cs="Times New Roman"/>
          <w:szCs w:val="24"/>
        </w:rPr>
        <w:instrText xml:space="preserve"> REF _Ref151712622 \h </w:instrText>
      </w:r>
      <w:r w:rsidR="00246349">
        <w:rPr>
          <w:rFonts w:cs="Times New Roman"/>
          <w:szCs w:val="24"/>
        </w:rPr>
        <w:instrText xml:space="preserve"> \* MERGEFORMAT </w:instrText>
      </w:r>
      <w:r w:rsidR="000F64D5">
        <w:rPr>
          <w:rFonts w:cs="Times New Roman"/>
          <w:szCs w:val="24"/>
        </w:rPr>
      </w:r>
      <w:r w:rsidR="000F64D5">
        <w:rPr>
          <w:rFonts w:cs="Times New Roman"/>
          <w:szCs w:val="24"/>
        </w:rPr>
        <w:fldChar w:fldCharType="separate"/>
      </w:r>
      <w:r w:rsidR="000F64D5">
        <w:t xml:space="preserve">Figura </w:t>
      </w:r>
      <w:r w:rsidR="000F64D5">
        <w:rPr>
          <w:noProof/>
        </w:rPr>
        <w:t>1</w:t>
      </w:r>
      <w:r w:rsidR="000F64D5">
        <w:rPr>
          <w:rFonts w:cs="Times New Roman"/>
          <w:szCs w:val="24"/>
        </w:rPr>
        <w:fldChar w:fldCharType="end"/>
      </w:r>
      <w:r w:rsidR="00103F3F">
        <w:rPr>
          <w:rFonts w:cs="Times New Roman"/>
          <w:szCs w:val="24"/>
        </w:rPr>
        <w:t>.</w:t>
      </w:r>
    </w:p>
    <w:p w14:paraId="352B0057" w14:textId="77777777" w:rsidR="000F64D5" w:rsidRDefault="000F64D5" w:rsidP="00582F6E">
      <w:pPr>
        <w:rPr>
          <w:rFonts w:cs="Times New Roman"/>
          <w:szCs w:val="24"/>
        </w:rPr>
      </w:pPr>
    </w:p>
    <w:p w14:paraId="5C59A07A" w14:textId="77777777" w:rsidR="000F64D5" w:rsidRDefault="00103F3F" w:rsidP="00332769">
      <w:pPr>
        <w:keepNext/>
        <w:jc w:val="center"/>
      </w:pPr>
      <w:r w:rsidRPr="00103F3F">
        <w:rPr>
          <w:rFonts w:cs="Times New Roman"/>
          <w:noProof/>
          <w:szCs w:val="24"/>
        </w:rPr>
        <w:lastRenderedPageBreak/>
        <w:drawing>
          <wp:inline distT="0" distB="0" distL="0" distR="0" wp14:anchorId="4D4D5074" wp14:editId="2A1452BA">
            <wp:extent cx="4058216" cy="2915057"/>
            <wp:effectExtent l="0" t="0" r="0" b="0"/>
            <wp:docPr id="190124806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2480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75AF" w14:textId="77777777" w:rsidR="000F64D5" w:rsidRDefault="000F64D5" w:rsidP="000F64D5">
      <w:pPr>
        <w:pStyle w:val="Legenda"/>
        <w:spacing w:before="0"/>
      </w:pPr>
      <w:bookmarkStart w:id="6" w:name="_Ref151712622"/>
      <w:r>
        <w:t xml:space="preserve">Figura </w:t>
      </w:r>
      <w:r w:rsidR="002157A8">
        <w:fldChar w:fldCharType="begin"/>
      </w:r>
      <w:r w:rsidR="002157A8">
        <w:instrText xml:space="preserve"> SEQ Figura \* ARABIC </w:instrText>
      </w:r>
      <w:r w:rsidR="002157A8">
        <w:fldChar w:fldCharType="separate"/>
      </w:r>
      <w:r>
        <w:rPr>
          <w:noProof/>
        </w:rPr>
        <w:t>1</w:t>
      </w:r>
      <w:r w:rsidR="002157A8">
        <w:rPr>
          <w:noProof/>
        </w:rPr>
        <w:fldChar w:fldCharType="end"/>
      </w:r>
      <w:bookmarkEnd w:id="6"/>
      <w:r>
        <w:t xml:space="preserve">. </w:t>
      </w:r>
      <w:r w:rsidRPr="00D31355">
        <w:t>Fluxograma do processo de fabricação de açúcar e álcool, a partir da cana</w:t>
      </w:r>
      <w:r>
        <w:t>-</w:t>
      </w:r>
      <w:r w:rsidRPr="00D31355">
        <w:t>de-açúcar.</w:t>
      </w:r>
      <w:r>
        <w:t xml:space="preserve"> </w:t>
      </w:r>
    </w:p>
    <w:p w14:paraId="38754F08" w14:textId="1AFCE373" w:rsidR="00103F3F" w:rsidRPr="000F64D5" w:rsidRDefault="000F64D5" w:rsidP="000F64D5">
      <w:pPr>
        <w:pStyle w:val="Legenda"/>
        <w:spacing w:before="0"/>
        <w:rPr>
          <w:sz w:val="20"/>
          <w:szCs w:val="14"/>
        </w:rPr>
      </w:pPr>
      <w:r w:rsidRPr="000F64D5">
        <w:rPr>
          <w:sz w:val="20"/>
          <w:szCs w:val="14"/>
        </w:rPr>
        <w:t>Fonte: Lopes &amp; Borges (2009).</w:t>
      </w:r>
    </w:p>
    <w:p w14:paraId="1FDA7666" w14:textId="77777777" w:rsidR="000F64D5" w:rsidRDefault="000F64D5" w:rsidP="000F64D5"/>
    <w:p w14:paraId="2B808DE6" w14:textId="77777777" w:rsidR="002157A8" w:rsidRPr="000F64D5" w:rsidRDefault="002157A8" w:rsidP="000F64D5"/>
    <w:p w14:paraId="714FEC95" w14:textId="4897BA4C" w:rsidR="00A85DB0" w:rsidRDefault="000B31A4" w:rsidP="002F7372">
      <w:pPr>
        <w:pStyle w:val="Subttulo"/>
        <w:numPr>
          <w:ilvl w:val="1"/>
          <w:numId w:val="1"/>
        </w:numPr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Análise</w:t>
      </w:r>
      <w:r w:rsidR="00A9388B" w:rsidRPr="002B31C6">
        <w:rPr>
          <w:rFonts w:cs="Times New Roman"/>
          <w:szCs w:val="24"/>
        </w:rPr>
        <w:t xml:space="preserve"> energétic</w:t>
      </w:r>
      <w:r w:rsidRPr="002B31C6">
        <w:rPr>
          <w:rFonts w:cs="Times New Roman"/>
          <w:szCs w:val="24"/>
        </w:rPr>
        <w:t>a</w:t>
      </w:r>
    </w:p>
    <w:p w14:paraId="71C93633" w14:textId="60D6147E" w:rsidR="00B66023" w:rsidRDefault="002F7372" w:rsidP="00246349">
      <w:r>
        <w:t>Os dados da demanda energética</w:t>
      </w:r>
      <w:r w:rsidR="008A098D">
        <w:t xml:space="preserve"> (transporte, fertilizantes</w:t>
      </w:r>
      <w:r w:rsidR="002A74F5">
        <w:t>, operações agrícolas e irrigação)</w:t>
      </w:r>
      <w:r>
        <w:t xml:space="preserve"> serão retirados </w:t>
      </w:r>
      <w:r w:rsidR="00084F6C">
        <w:t xml:space="preserve">do trabalho de </w:t>
      </w:r>
      <w:proofErr w:type="spellStart"/>
      <w:r w:rsidR="00084F6C">
        <w:t>Shela</w:t>
      </w:r>
      <w:r w:rsidR="009B2E0A">
        <w:t>r</w:t>
      </w:r>
      <w:proofErr w:type="spellEnd"/>
      <w:r w:rsidR="00084F6C">
        <w:t xml:space="preserve"> et al. (</w:t>
      </w:r>
      <w:r w:rsidR="00ED5E9A">
        <w:t>2023)</w:t>
      </w:r>
      <w:r w:rsidR="002716A0">
        <w:t>.</w:t>
      </w:r>
      <w:r w:rsidR="00483AC6">
        <w:t xml:space="preserve"> Para </w:t>
      </w:r>
      <w:r w:rsidR="00D74864">
        <w:t>o insumo</w:t>
      </w:r>
      <w:r w:rsidR="00483AC6">
        <w:t xml:space="preserve"> energétic</w:t>
      </w:r>
      <w:r w:rsidR="00D74864">
        <w:t>o</w:t>
      </w:r>
      <w:r w:rsidR="00483AC6">
        <w:t xml:space="preserve"> da irrigação será atribuído </w:t>
      </w:r>
      <w:r w:rsidR="005002F4">
        <w:t xml:space="preserve">7,18 MJ e </w:t>
      </w:r>
      <w:r w:rsidR="00137648">
        <w:t xml:space="preserve">5,98 MJ </w:t>
      </w:r>
      <w:r w:rsidR="00CD7485">
        <w:t xml:space="preserve">por litro de etanol para os tratamentos de 50 e 100% da água disponível, respectivamente. </w:t>
      </w:r>
    </w:p>
    <w:p w14:paraId="5C1A158C" w14:textId="40F9AAE8" w:rsidR="00A04819" w:rsidRDefault="005A1702" w:rsidP="00246349">
      <w:r>
        <w:t xml:space="preserve">A energia média agregada </w:t>
      </w:r>
      <w:r w:rsidR="002E3910">
        <w:t>dos fertilizantes</w:t>
      </w:r>
      <w:r w:rsidR="0032696F">
        <w:t xml:space="preserve">, nitrogênio, potássio e fósforo </w:t>
      </w:r>
      <w:r w:rsidR="002E3910">
        <w:t>(MJ kg</w:t>
      </w:r>
      <w:r w:rsidR="002E3910" w:rsidRPr="002E3910">
        <w:rPr>
          <w:vertAlign w:val="superscript"/>
        </w:rPr>
        <w:noBreakHyphen/>
        <w:t>1</w:t>
      </w:r>
      <w:r w:rsidR="002E3910">
        <w:t>)</w:t>
      </w:r>
      <w:r w:rsidR="00DF71AC">
        <w:t xml:space="preserve"> </w:t>
      </w:r>
      <w:r w:rsidR="00A8159A">
        <w:t>serão</w:t>
      </w:r>
      <w:r w:rsidR="00DF71AC">
        <w:t xml:space="preserve"> retirados do trabalho de </w:t>
      </w:r>
      <w:r w:rsidR="00F65537">
        <w:t>Teixeira et al. (2005)</w:t>
      </w:r>
      <w:r w:rsidR="005A3A51">
        <w:t xml:space="preserve">. </w:t>
      </w:r>
      <w:r w:rsidR="00F900D2">
        <w:t>A energia d</w:t>
      </w:r>
      <w:r w:rsidR="00444749">
        <w:t xml:space="preserve">e entrada do calcário variou em função do tratamento e </w:t>
      </w:r>
      <w:r w:rsidR="00A8159A">
        <w:t>será</w:t>
      </w:r>
      <w:r w:rsidR="00444749">
        <w:t xml:space="preserve"> atribuído </w:t>
      </w:r>
      <w:r w:rsidR="0043328F">
        <w:t xml:space="preserve">1,7MJ para cada mil quilogramas de </w:t>
      </w:r>
      <w:r w:rsidR="00A8159A">
        <w:t xml:space="preserve">calcário </w:t>
      </w:r>
      <w:r w:rsidR="00A8159A">
        <w:t>(ROMANELLI, 2007)</w:t>
      </w:r>
      <w:r w:rsidR="008226E5">
        <w:t xml:space="preserve">, </w:t>
      </w:r>
      <w:r w:rsidR="00A8159A">
        <w:t xml:space="preserve">e </w:t>
      </w:r>
      <w:r w:rsidR="00E02D00">
        <w:t>será considerado</w:t>
      </w:r>
      <w:r w:rsidR="008226E5">
        <w:t xml:space="preserve"> que o carbonato de cálcio</w:t>
      </w:r>
      <w:r w:rsidR="00A8159A">
        <w:t xml:space="preserve"> apresenta o potencial energético próximo ao do calcário.</w:t>
      </w:r>
      <w:r w:rsidR="00E02D00">
        <w:t xml:space="preserve"> Os valores </w:t>
      </w:r>
      <w:r w:rsidR="00D93C9B">
        <w:t xml:space="preserve">da energia de entrada estão descritos na </w:t>
      </w:r>
      <w:r w:rsidR="007A2B66">
        <w:fldChar w:fldCharType="begin"/>
      </w:r>
      <w:r w:rsidR="007A2B66">
        <w:instrText xml:space="preserve"> REF _Ref152605692 \h </w:instrText>
      </w:r>
      <w:r w:rsidR="007A2B66">
        <w:fldChar w:fldCharType="separate"/>
      </w:r>
      <w:r w:rsidR="007A2B66">
        <w:t xml:space="preserve">Tabela </w:t>
      </w:r>
      <w:r w:rsidR="007A2B66">
        <w:rPr>
          <w:noProof/>
        </w:rPr>
        <w:t>3</w:t>
      </w:r>
      <w:r w:rsidR="007A2B66">
        <w:fldChar w:fldCharType="end"/>
      </w:r>
      <w:r w:rsidR="00D93C9B">
        <w:t>.</w:t>
      </w:r>
    </w:p>
    <w:p w14:paraId="59B99EAA" w14:textId="24F4989F" w:rsidR="007A2B66" w:rsidRDefault="007A2B66" w:rsidP="007A2B66">
      <w:pPr>
        <w:pStyle w:val="Legenda"/>
        <w:keepNext/>
      </w:pPr>
      <w:bookmarkStart w:id="7" w:name="_Ref152605692"/>
      <w:r>
        <w:lastRenderedPageBreak/>
        <w:t xml:space="preserve">Tabela </w:t>
      </w:r>
      <w:fldSimple w:instr=" SEQ Tabela \* ARABIC ">
        <w:r>
          <w:rPr>
            <w:noProof/>
          </w:rPr>
          <w:t>3</w:t>
        </w:r>
      </w:fldSimple>
      <w:bookmarkEnd w:id="7"/>
      <w:r>
        <w:t xml:space="preserve">. Valores dos energéticos </w:t>
      </w:r>
      <w:r w:rsidRPr="0066553D">
        <w:t xml:space="preserve">de entrada </w:t>
      </w:r>
      <w:r>
        <w:t xml:space="preserve"> dos fertilizantes no sistema em função do tratamento de fotoproteção</w:t>
      </w:r>
    </w:p>
    <w:tbl>
      <w:tblPr>
        <w:tblStyle w:val="Tabelacomgrade"/>
        <w:tblW w:w="4868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04"/>
        <w:gridCol w:w="879"/>
        <w:gridCol w:w="805"/>
        <w:gridCol w:w="833"/>
        <w:gridCol w:w="805"/>
        <w:gridCol w:w="833"/>
        <w:gridCol w:w="805"/>
        <w:gridCol w:w="830"/>
      </w:tblGrid>
      <w:tr w:rsidR="00FF6AEC" w14:paraId="092C4E3F" w14:textId="6BA82EF5" w:rsidTr="007A2B66">
        <w:tc>
          <w:tcPr>
            <w:tcW w:w="1018" w:type="pct"/>
            <w:vMerge w:val="restart"/>
            <w:vAlign w:val="center"/>
          </w:tcPr>
          <w:p w14:paraId="31D2623A" w14:textId="55203232" w:rsidR="00FF6AEC" w:rsidRDefault="00FF6AEC" w:rsidP="002157A8">
            <w:pPr>
              <w:spacing w:line="240" w:lineRule="auto"/>
              <w:ind w:firstLine="0"/>
              <w:jc w:val="center"/>
            </w:pPr>
            <w:r>
              <w:t>Tratamento</w:t>
            </w:r>
          </w:p>
        </w:tc>
        <w:tc>
          <w:tcPr>
            <w:tcW w:w="1016" w:type="pct"/>
            <w:gridSpan w:val="2"/>
            <w:vAlign w:val="center"/>
          </w:tcPr>
          <w:p w14:paraId="41FD5BE4" w14:textId="55AF1E74" w:rsidR="00FF6AEC" w:rsidRDefault="00FF6AEC" w:rsidP="002157A8">
            <w:pPr>
              <w:spacing w:line="240" w:lineRule="auto"/>
              <w:ind w:firstLine="0"/>
              <w:jc w:val="center"/>
            </w:pPr>
            <w:r>
              <w:t>Cálcio</w:t>
            </w:r>
          </w:p>
        </w:tc>
        <w:tc>
          <w:tcPr>
            <w:tcW w:w="989" w:type="pct"/>
            <w:gridSpan w:val="2"/>
            <w:vAlign w:val="center"/>
          </w:tcPr>
          <w:p w14:paraId="31DFBDA3" w14:textId="5F1BA106" w:rsidR="00FF6AEC" w:rsidRDefault="00FF6AEC" w:rsidP="002157A8">
            <w:pPr>
              <w:spacing w:line="240" w:lineRule="auto"/>
              <w:ind w:firstLine="0"/>
              <w:jc w:val="center"/>
            </w:pPr>
            <w:r>
              <w:t>Nitrogênio</w:t>
            </w:r>
          </w:p>
        </w:tc>
        <w:tc>
          <w:tcPr>
            <w:tcW w:w="989" w:type="pct"/>
            <w:gridSpan w:val="2"/>
            <w:vAlign w:val="center"/>
          </w:tcPr>
          <w:p w14:paraId="5AA89723" w14:textId="6B1B0B93" w:rsidR="00FF6AEC" w:rsidRDefault="00FF6AEC" w:rsidP="002157A8">
            <w:pPr>
              <w:spacing w:line="240" w:lineRule="auto"/>
              <w:ind w:firstLine="0"/>
              <w:jc w:val="center"/>
            </w:pPr>
            <w:r>
              <w:t>Fósforo</w:t>
            </w:r>
          </w:p>
        </w:tc>
        <w:tc>
          <w:tcPr>
            <w:tcW w:w="987" w:type="pct"/>
            <w:gridSpan w:val="2"/>
            <w:vAlign w:val="center"/>
          </w:tcPr>
          <w:p w14:paraId="6F07614A" w14:textId="7B01A26B" w:rsidR="00FF6AEC" w:rsidRDefault="00FF6AEC" w:rsidP="002157A8">
            <w:pPr>
              <w:spacing w:line="240" w:lineRule="auto"/>
              <w:ind w:firstLine="0"/>
              <w:jc w:val="center"/>
            </w:pPr>
            <w:r>
              <w:t>Potássio</w:t>
            </w:r>
          </w:p>
        </w:tc>
      </w:tr>
      <w:tr w:rsidR="00FF6AEC" w14:paraId="399FFB07" w14:textId="05D89A5E" w:rsidTr="007A2B66">
        <w:tc>
          <w:tcPr>
            <w:tcW w:w="1018" w:type="pct"/>
            <w:vMerge/>
            <w:vAlign w:val="center"/>
          </w:tcPr>
          <w:p w14:paraId="04E9019A" w14:textId="77777777" w:rsidR="00FF6AEC" w:rsidRDefault="00FF6AEC" w:rsidP="002157A8">
            <w:pPr>
              <w:spacing w:line="240" w:lineRule="auto"/>
              <w:ind w:firstLine="0"/>
              <w:jc w:val="left"/>
            </w:pPr>
          </w:p>
        </w:tc>
        <w:tc>
          <w:tcPr>
            <w:tcW w:w="486" w:type="pct"/>
            <w:vAlign w:val="center"/>
          </w:tcPr>
          <w:p w14:paraId="50D8518B" w14:textId="23E13DD1" w:rsidR="00FF6AEC" w:rsidRDefault="00FF6AEC" w:rsidP="002157A8">
            <w:pPr>
              <w:spacing w:line="240" w:lineRule="auto"/>
              <w:ind w:firstLine="0"/>
              <w:jc w:val="center"/>
            </w:pPr>
            <w:r>
              <w:t>Kg/ha</w:t>
            </w:r>
          </w:p>
        </w:tc>
        <w:tc>
          <w:tcPr>
            <w:tcW w:w="531" w:type="pct"/>
            <w:vAlign w:val="center"/>
          </w:tcPr>
          <w:p w14:paraId="299ABECF" w14:textId="130D30F4" w:rsidR="00FF6AEC" w:rsidRDefault="00FF6AEC" w:rsidP="002157A8">
            <w:pPr>
              <w:spacing w:line="240" w:lineRule="auto"/>
              <w:ind w:firstLine="0"/>
              <w:jc w:val="center"/>
            </w:pPr>
            <w:r>
              <w:t>MJ/kg</w:t>
            </w:r>
          </w:p>
        </w:tc>
        <w:tc>
          <w:tcPr>
            <w:tcW w:w="486" w:type="pct"/>
            <w:vAlign w:val="center"/>
          </w:tcPr>
          <w:p w14:paraId="79EF1F53" w14:textId="4DBB683D" w:rsidR="00FF6AEC" w:rsidRDefault="00FF6AEC" w:rsidP="002157A8">
            <w:pPr>
              <w:spacing w:line="240" w:lineRule="auto"/>
              <w:ind w:firstLine="0"/>
              <w:jc w:val="center"/>
            </w:pPr>
            <w:r>
              <w:t>Kg/ha</w:t>
            </w:r>
          </w:p>
        </w:tc>
        <w:tc>
          <w:tcPr>
            <w:tcW w:w="503" w:type="pct"/>
            <w:vAlign w:val="center"/>
          </w:tcPr>
          <w:p w14:paraId="65919DB3" w14:textId="0210D12C" w:rsidR="00FF6AEC" w:rsidRDefault="00FF6AEC" w:rsidP="002157A8">
            <w:pPr>
              <w:spacing w:line="240" w:lineRule="auto"/>
              <w:ind w:firstLine="0"/>
              <w:jc w:val="center"/>
            </w:pPr>
            <w:r>
              <w:t>MJ/kg</w:t>
            </w:r>
          </w:p>
        </w:tc>
        <w:tc>
          <w:tcPr>
            <w:tcW w:w="486" w:type="pct"/>
            <w:vAlign w:val="center"/>
          </w:tcPr>
          <w:p w14:paraId="1E5BC142" w14:textId="7859E007" w:rsidR="00FF6AEC" w:rsidRDefault="00FF6AEC" w:rsidP="002157A8">
            <w:pPr>
              <w:spacing w:line="240" w:lineRule="auto"/>
              <w:ind w:firstLine="0"/>
              <w:jc w:val="center"/>
            </w:pPr>
            <w:r>
              <w:t>Kg/ha</w:t>
            </w:r>
          </w:p>
        </w:tc>
        <w:tc>
          <w:tcPr>
            <w:tcW w:w="503" w:type="pct"/>
            <w:vAlign w:val="center"/>
          </w:tcPr>
          <w:p w14:paraId="4111C3AA" w14:textId="2AF46075" w:rsidR="00FF6AEC" w:rsidRDefault="00FF6AEC" w:rsidP="002157A8">
            <w:pPr>
              <w:spacing w:line="240" w:lineRule="auto"/>
              <w:ind w:firstLine="0"/>
              <w:jc w:val="center"/>
            </w:pPr>
            <w:r>
              <w:t>MJ/kg</w:t>
            </w:r>
          </w:p>
        </w:tc>
        <w:tc>
          <w:tcPr>
            <w:tcW w:w="486" w:type="pct"/>
            <w:vAlign w:val="center"/>
          </w:tcPr>
          <w:p w14:paraId="618C1D8F" w14:textId="01289B56" w:rsidR="00FF6AEC" w:rsidRDefault="00FF6AEC" w:rsidP="002157A8">
            <w:pPr>
              <w:spacing w:line="240" w:lineRule="auto"/>
              <w:ind w:firstLine="0"/>
              <w:jc w:val="center"/>
            </w:pPr>
            <w:r>
              <w:t>Kg/ha</w:t>
            </w:r>
          </w:p>
        </w:tc>
        <w:tc>
          <w:tcPr>
            <w:tcW w:w="501" w:type="pct"/>
            <w:vAlign w:val="center"/>
          </w:tcPr>
          <w:p w14:paraId="5756D7C1" w14:textId="0DDBF35C" w:rsidR="00FF6AEC" w:rsidRDefault="00FF6AEC" w:rsidP="002157A8">
            <w:pPr>
              <w:spacing w:line="240" w:lineRule="auto"/>
              <w:ind w:firstLine="0"/>
              <w:jc w:val="center"/>
            </w:pPr>
            <w:r>
              <w:t>MJ/kg</w:t>
            </w:r>
          </w:p>
        </w:tc>
      </w:tr>
      <w:tr w:rsidR="00FF6AEC" w14:paraId="5E45DEF4" w14:textId="72FF8A34" w:rsidTr="007A2B66">
        <w:tc>
          <w:tcPr>
            <w:tcW w:w="1018" w:type="pct"/>
            <w:vAlign w:val="center"/>
          </w:tcPr>
          <w:p w14:paraId="03C26BD5" w14:textId="21C04C29" w:rsidR="00FF6AEC" w:rsidRDefault="00FF6AEC" w:rsidP="002157A8">
            <w:pPr>
              <w:spacing w:line="240" w:lineRule="auto"/>
              <w:ind w:firstLine="0"/>
              <w:jc w:val="left"/>
            </w:pPr>
            <w:r>
              <w:t>Sem Produto</w:t>
            </w:r>
          </w:p>
        </w:tc>
        <w:tc>
          <w:tcPr>
            <w:tcW w:w="486" w:type="pct"/>
            <w:vAlign w:val="center"/>
          </w:tcPr>
          <w:p w14:paraId="762E71E6" w14:textId="67BCB13A" w:rsidR="00FF6AEC" w:rsidRDefault="00FF6AEC" w:rsidP="002157A8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531" w:type="pct"/>
            <w:vMerge w:val="restart"/>
            <w:vAlign w:val="center"/>
          </w:tcPr>
          <w:p w14:paraId="21093147" w14:textId="1132257B" w:rsidR="00FF6AEC" w:rsidRDefault="00FF6AEC" w:rsidP="002157A8">
            <w:pPr>
              <w:spacing w:line="240" w:lineRule="auto"/>
              <w:ind w:firstLine="0"/>
              <w:jc w:val="center"/>
            </w:pPr>
            <w:r>
              <w:t>0,0017</w:t>
            </w:r>
          </w:p>
        </w:tc>
        <w:tc>
          <w:tcPr>
            <w:tcW w:w="486" w:type="pct"/>
            <w:vMerge w:val="restart"/>
            <w:vAlign w:val="center"/>
          </w:tcPr>
          <w:p w14:paraId="54AF6C8C" w14:textId="06450623" w:rsidR="00FF6AEC" w:rsidRDefault="00FF6AEC" w:rsidP="002157A8">
            <w:pPr>
              <w:spacing w:line="240" w:lineRule="auto"/>
              <w:ind w:firstLine="0"/>
              <w:jc w:val="center"/>
            </w:pPr>
            <w:r>
              <w:t>64</w:t>
            </w:r>
          </w:p>
        </w:tc>
        <w:tc>
          <w:tcPr>
            <w:tcW w:w="503" w:type="pct"/>
            <w:vMerge w:val="restart"/>
            <w:vAlign w:val="center"/>
          </w:tcPr>
          <w:p w14:paraId="68E40A1A" w14:textId="76381E56" w:rsidR="00FF6AEC" w:rsidRDefault="00FF6AEC" w:rsidP="002157A8">
            <w:pPr>
              <w:spacing w:line="240" w:lineRule="auto"/>
              <w:ind w:firstLine="0"/>
              <w:jc w:val="center"/>
            </w:pPr>
            <w:r>
              <w:t>59,46</w:t>
            </w:r>
          </w:p>
        </w:tc>
        <w:tc>
          <w:tcPr>
            <w:tcW w:w="486" w:type="pct"/>
            <w:vMerge w:val="restart"/>
            <w:vAlign w:val="center"/>
          </w:tcPr>
          <w:p w14:paraId="0F648015" w14:textId="2D12CD88" w:rsidR="00FF6AEC" w:rsidRDefault="00FF6AEC" w:rsidP="002157A8">
            <w:pPr>
              <w:spacing w:line="240" w:lineRule="auto"/>
              <w:ind w:firstLine="0"/>
              <w:jc w:val="center"/>
            </w:pPr>
            <w:r>
              <w:t>212,8</w:t>
            </w:r>
          </w:p>
        </w:tc>
        <w:tc>
          <w:tcPr>
            <w:tcW w:w="503" w:type="pct"/>
            <w:vMerge w:val="restart"/>
            <w:vAlign w:val="center"/>
          </w:tcPr>
          <w:p w14:paraId="1D926A0A" w14:textId="2F18DB4D" w:rsidR="00FF6AEC" w:rsidRDefault="00FF6AEC" w:rsidP="002157A8">
            <w:pPr>
              <w:spacing w:line="240" w:lineRule="auto"/>
              <w:ind w:firstLine="0"/>
              <w:jc w:val="center"/>
            </w:pPr>
            <w:r>
              <w:t>11,96</w:t>
            </w:r>
          </w:p>
        </w:tc>
        <w:tc>
          <w:tcPr>
            <w:tcW w:w="486" w:type="pct"/>
            <w:vMerge w:val="restart"/>
            <w:vAlign w:val="center"/>
          </w:tcPr>
          <w:p w14:paraId="14FAD541" w14:textId="368061E1" w:rsidR="00FF6AEC" w:rsidRDefault="00FF6AEC" w:rsidP="002157A8">
            <w:pPr>
              <w:spacing w:line="240" w:lineRule="auto"/>
              <w:ind w:firstLine="0"/>
              <w:jc w:val="center"/>
            </w:pPr>
            <w:r>
              <w:t>192,6</w:t>
            </w:r>
          </w:p>
        </w:tc>
        <w:tc>
          <w:tcPr>
            <w:tcW w:w="501" w:type="pct"/>
            <w:vMerge w:val="restart"/>
            <w:vAlign w:val="center"/>
          </w:tcPr>
          <w:p w14:paraId="75D3ED5C" w14:textId="384205F1" w:rsidR="00FF6AEC" w:rsidRDefault="00FF6AEC" w:rsidP="002157A8">
            <w:pPr>
              <w:spacing w:line="240" w:lineRule="auto"/>
              <w:ind w:firstLine="0"/>
              <w:jc w:val="center"/>
            </w:pPr>
            <w:r>
              <w:t>5,89</w:t>
            </w:r>
          </w:p>
        </w:tc>
      </w:tr>
      <w:tr w:rsidR="00FF6AEC" w14:paraId="452CA8CD" w14:textId="5DB32AEA" w:rsidTr="007A2B66">
        <w:tc>
          <w:tcPr>
            <w:tcW w:w="1018" w:type="pct"/>
            <w:vAlign w:val="center"/>
          </w:tcPr>
          <w:p w14:paraId="39870C49" w14:textId="703CBEC0" w:rsidR="00FF6AEC" w:rsidRDefault="00FF6AEC" w:rsidP="002157A8">
            <w:pPr>
              <w:spacing w:line="240" w:lineRule="auto"/>
              <w:ind w:firstLine="0"/>
              <w:jc w:val="left"/>
            </w:pPr>
            <w:r>
              <w:t>Recomendação do fabricante</w:t>
            </w:r>
          </w:p>
        </w:tc>
        <w:tc>
          <w:tcPr>
            <w:tcW w:w="486" w:type="pct"/>
            <w:vAlign w:val="center"/>
          </w:tcPr>
          <w:p w14:paraId="67ACD107" w14:textId="7B2C73EF" w:rsidR="00FF6AEC" w:rsidRDefault="00FF6AEC" w:rsidP="002157A8">
            <w:pPr>
              <w:spacing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531" w:type="pct"/>
            <w:vMerge/>
            <w:vAlign w:val="center"/>
          </w:tcPr>
          <w:p w14:paraId="629DFDB4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0CEF179A" w14:textId="60DB92DC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503" w:type="pct"/>
            <w:vMerge/>
            <w:vAlign w:val="center"/>
          </w:tcPr>
          <w:p w14:paraId="4B692292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1B601AA6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503" w:type="pct"/>
            <w:vMerge/>
            <w:vAlign w:val="center"/>
          </w:tcPr>
          <w:p w14:paraId="50EB2374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67BBE81D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501" w:type="pct"/>
            <w:vMerge/>
            <w:vAlign w:val="center"/>
          </w:tcPr>
          <w:p w14:paraId="2EC48B9C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</w:tr>
      <w:tr w:rsidR="00FF6AEC" w14:paraId="154E1DD0" w14:textId="76B2D541" w:rsidTr="007A2B66">
        <w:tc>
          <w:tcPr>
            <w:tcW w:w="1018" w:type="pct"/>
            <w:vAlign w:val="center"/>
          </w:tcPr>
          <w:p w14:paraId="00E68673" w14:textId="3CC9078A" w:rsidR="00FF6AEC" w:rsidRDefault="00FF6AEC" w:rsidP="002157A8">
            <w:pPr>
              <w:spacing w:line="240" w:lineRule="auto"/>
              <w:ind w:firstLine="0"/>
              <w:jc w:val="left"/>
            </w:pPr>
            <w:r>
              <w:t>Produto concentrado</w:t>
            </w:r>
          </w:p>
        </w:tc>
        <w:tc>
          <w:tcPr>
            <w:tcW w:w="486" w:type="pct"/>
            <w:vAlign w:val="center"/>
          </w:tcPr>
          <w:p w14:paraId="0810C427" w14:textId="787661FB" w:rsidR="00FF6AEC" w:rsidRDefault="00FF6AEC" w:rsidP="002157A8">
            <w:pPr>
              <w:spacing w:line="240" w:lineRule="auto"/>
              <w:ind w:firstLine="0"/>
              <w:jc w:val="center"/>
            </w:pPr>
            <w:r>
              <w:t>102</w:t>
            </w:r>
          </w:p>
        </w:tc>
        <w:tc>
          <w:tcPr>
            <w:tcW w:w="531" w:type="pct"/>
            <w:vMerge/>
            <w:vAlign w:val="center"/>
          </w:tcPr>
          <w:p w14:paraId="031D480E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26C08B7F" w14:textId="32B5CA43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503" w:type="pct"/>
            <w:vMerge/>
            <w:vAlign w:val="center"/>
          </w:tcPr>
          <w:p w14:paraId="43B456F0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78780552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503" w:type="pct"/>
            <w:vMerge/>
            <w:vAlign w:val="center"/>
          </w:tcPr>
          <w:p w14:paraId="2F7111ED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1FC983BF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  <w:tc>
          <w:tcPr>
            <w:tcW w:w="501" w:type="pct"/>
            <w:vMerge/>
            <w:vAlign w:val="center"/>
          </w:tcPr>
          <w:p w14:paraId="10CFF747" w14:textId="77777777" w:rsidR="00FF6AEC" w:rsidRDefault="00FF6AEC" w:rsidP="002157A8">
            <w:pPr>
              <w:spacing w:line="240" w:lineRule="auto"/>
              <w:ind w:firstLine="0"/>
              <w:jc w:val="center"/>
            </w:pPr>
          </w:p>
        </w:tc>
      </w:tr>
    </w:tbl>
    <w:p w14:paraId="005CA947" w14:textId="77777777" w:rsidR="00D93C9B" w:rsidRPr="002E3910" w:rsidRDefault="00D93C9B" w:rsidP="00246349"/>
    <w:p w14:paraId="2015D6D3" w14:textId="22090276" w:rsidR="005C5FD1" w:rsidRDefault="0048015F" w:rsidP="00246349">
      <w:r>
        <w:t>O litro de etanol, no Brasil, apresenta um conteúdo  de</w:t>
      </w:r>
      <w:r w:rsidR="008F18F1">
        <w:t xml:space="preserve"> 22 MJ (M</w:t>
      </w:r>
      <w:r w:rsidR="009B2E0A">
        <w:t>A</w:t>
      </w:r>
      <w:r w:rsidR="008F18F1">
        <w:t>C</w:t>
      </w:r>
      <w:r w:rsidR="009B2E0A">
        <w:t>E</w:t>
      </w:r>
      <w:r w:rsidR="008F18F1">
        <w:t>DO et al., 2008).</w:t>
      </w:r>
      <w:r w:rsidR="00392A42">
        <w:t xml:space="preserve"> Dessa </w:t>
      </w:r>
      <w:r w:rsidR="005C5FD1">
        <w:t>forma</w:t>
      </w:r>
      <w:r w:rsidR="00392A42">
        <w:t>, será</w:t>
      </w:r>
      <w:r w:rsidR="005C5FD1">
        <w:t xml:space="preserve"> aplicado os indicadores de eficiência energética: balanço energético </w:t>
      </w:r>
      <w:r w:rsidR="0051622E">
        <w:t>(BE</w:t>
      </w:r>
      <w:r w:rsidR="0029594E">
        <w:t xml:space="preserve">, </w:t>
      </w:r>
      <w:r w:rsidR="005D5FB4">
        <w:t xml:space="preserve">MJ </w:t>
      </w:r>
      <w:proofErr w:type="spellStart"/>
      <w:r w:rsidR="005D5FB4">
        <w:t>ha</w:t>
      </w:r>
      <w:proofErr w:type="spellEnd"/>
      <w:r w:rsidR="005D5FB4">
        <w:rPr>
          <w:vertAlign w:val="superscript"/>
        </w:rPr>
        <w:t>-1</w:t>
      </w:r>
      <w:r w:rsidR="005D5FB4">
        <w:t xml:space="preserve"> ano</w:t>
      </w:r>
      <w:r w:rsidR="005D5FB4">
        <w:rPr>
          <w:vertAlign w:val="superscript"/>
        </w:rPr>
        <w:t>-1</w:t>
      </w:r>
      <w:r w:rsidR="0051622E">
        <w:t>)</w:t>
      </w:r>
      <w:r w:rsidR="00CE2765">
        <w:t>,</w:t>
      </w:r>
      <w:r w:rsidR="005C5FD1">
        <w:t xml:space="preserve"> </w:t>
      </w:r>
      <w:proofErr w:type="spellStart"/>
      <w:r w:rsidR="0051622E">
        <w:t>energy</w:t>
      </w:r>
      <w:proofErr w:type="spellEnd"/>
      <w:r w:rsidR="0051622E">
        <w:t xml:space="preserve"> </w:t>
      </w:r>
      <w:proofErr w:type="spellStart"/>
      <w:r w:rsidR="0051622E">
        <w:t>return</w:t>
      </w:r>
      <w:proofErr w:type="spellEnd"/>
      <w:r w:rsidR="0051622E">
        <w:t xml:space="preserve"> over </w:t>
      </w:r>
      <w:proofErr w:type="spellStart"/>
      <w:r w:rsidR="0051622E">
        <w:t>investment</w:t>
      </w:r>
      <w:proofErr w:type="spellEnd"/>
      <w:r w:rsidR="0051622E">
        <w:t xml:space="preserve"> (EROI</w:t>
      </w:r>
      <w:r w:rsidR="005D5FB4">
        <w:t xml:space="preserve">, </w:t>
      </w:r>
      <w:r w:rsidR="003E48BB">
        <w:t>MJ MJ</w:t>
      </w:r>
      <w:r w:rsidR="003E48BB">
        <w:rPr>
          <w:vertAlign w:val="superscript"/>
        </w:rPr>
        <w:t>-1</w:t>
      </w:r>
      <w:r w:rsidR="0051622E">
        <w:t>)</w:t>
      </w:r>
      <w:r w:rsidR="00DE38CB">
        <w:t xml:space="preserve"> e a</w:t>
      </w:r>
      <w:r w:rsidR="00CE2765">
        <w:t xml:space="preserve"> energia incorporada </w:t>
      </w:r>
      <w:r w:rsidR="00DE38CB">
        <w:t>(EI</w:t>
      </w:r>
      <w:r w:rsidR="003E48BB">
        <w:t>, MJ t</w:t>
      </w:r>
      <w:r w:rsidR="003E48BB">
        <w:rPr>
          <w:vertAlign w:val="superscript"/>
        </w:rPr>
        <w:t>-1</w:t>
      </w:r>
      <w:r w:rsidR="00DE38CB">
        <w:t xml:space="preserve">), conforme as Equações </w:t>
      </w:r>
      <w:r w:rsidR="00457247">
        <w:t xml:space="preserve">2, 3 e 4, respectivamente. </w:t>
      </w:r>
    </w:p>
    <w:p w14:paraId="049880F1" w14:textId="251FC7FB" w:rsidR="00457247" w:rsidRPr="00D330E1" w:rsidRDefault="00457247" w:rsidP="00246349">
      <w:pPr>
        <w:rPr>
          <w:rFonts w:eastAsiaTheme="minorEastAsi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330E1" w14:paraId="0F35F786" w14:textId="77777777" w:rsidTr="00D22977">
        <w:tc>
          <w:tcPr>
            <w:tcW w:w="4247" w:type="dxa"/>
          </w:tcPr>
          <w:p w14:paraId="56AADEDA" w14:textId="4F47A241" w:rsidR="00D330E1" w:rsidRPr="00D22977" w:rsidRDefault="00D330E1" w:rsidP="00D22977">
            <w:pPr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BE=ES-EE</m:t>
                </m:r>
              </m:oMath>
            </m:oMathPara>
          </w:p>
        </w:tc>
        <w:tc>
          <w:tcPr>
            <w:tcW w:w="4247" w:type="dxa"/>
            <w:vAlign w:val="center"/>
          </w:tcPr>
          <w:p w14:paraId="7434232A" w14:textId="5460A8EC" w:rsidR="00D330E1" w:rsidRDefault="00D22977" w:rsidP="00D22977">
            <w:pPr>
              <w:ind w:firstLine="0"/>
              <w:jc w:val="right"/>
            </w:pPr>
            <w:r>
              <w:t>(2)</w:t>
            </w:r>
          </w:p>
        </w:tc>
      </w:tr>
      <w:tr w:rsidR="00D330E1" w14:paraId="702A2430" w14:textId="77777777" w:rsidTr="00D22977">
        <w:tc>
          <w:tcPr>
            <w:tcW w:w="4247" w:type="dxa"/>
          </w:tcPr>
          <w:p w14:paraId="24658D7F" w14:textId="716CB389" w:rsidR="00D330E1" w:rsidRPr="00D22977" w:rsidRDefault="00FF1298" w:rsidP="00D22977">
            <w:pPr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EROI=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EE</m:t>
                    </m:r>
                  </m:den>
                </m:f>
              </m:oMath>
            </m:oMathPara>
          </w:p>
        </w:tc>
        <w:tc>
          <w:tcPr>
            <w:tcW w:w="4247" w:type="dxa"/>
            <w:vAlign w:val="center"/>
          </w:tcPr>
          <w:p w14:paraId="66F2155B" w14:textId="7744F1F1" w:rsidR="00D330E1" w:rsidRDefault="00D22977" w:rsidP="00D22977">
            <w:pPr>
              <w:ind w:firstLine="0"/>
              <w:jc w:val="right"/>
            </w:pPr>
            <w:r>
              <w:t>(3)</w:t>
            </w:r>
          </w:p>
        </w:tc>
      </w:tr>
      <w:tr w:rsidR="00D330E1" w14:paraId="6FFD91DD" w14:textId="77777777" w:rsidTr="00D22977">
        <w:tc>
          <w:tcPr>
            <w:tcW w:w="4247" w:type="dxa"/>
          </w:tcPr>
          <w:p w14:paraId="1BBB475E" w14:textId="6DC2CFEB" w:rsidR="00D330E1" w:rsidRPr="00D22977" w:rsidRDefault="00D22977" w:rsidP="00D22977">
            <w:pPr>
              <w:ind w:firstLine="0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EI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4247" w:type="dxa"/>
            <w:vAlign w:val="center"/>
          </w:tcPr>
          <w:p w14:paraId="7AAD936C" w14:textId="750FC1CC" w:rsidR="00D330E1" w:rsidRDefault="00D22977" w:rsidP="00D22977">
            <w:pPr>
              <w:ind w:firstLine="0"/>
              <w:jc w:val="right"/>
            </w:pPr>
            <w:r>
              <w:t>(4)</w:t>
            </w:r>
          </w:p>
        </w:tc>
      </w:tr>
    </w:tbl>
    <w:p w14:paraId="7B8DC8A0" w14:textId="19BB9404" w:rsidR="00D330E1" w:rsidRDefault="00D22977" w:rsidP="00D22977">
      <w:pPr>
        <w:ind w:firstLine="0"/>
      </w:pPr>
      <w:r>
        <w:t xml:space="preserve">em que: </w:t>
      </w:r>
      <w:r w:rsidR="007D731F">
        <w:t>ES corresponde a energia de saída</w:t>
      </w:r>
      <w:r w:rsidR="00694284">
        <w:t xml:space="preserve">, EE é a energia de entrada e P representa o valor </w:t>
      </w:r>
      <w:r w:rsidR="0029594E">
        <w:t xml:space="preserve">da produção de biomassa. </w:t>
      </w:r>
      <w:r>
        <w:t xml:space="preserve"> </w:t>
      </w:r>
    </w:p>
    <w:p w14:paraId="675CE1D0" w14:textId="321E82AB" w:rsidR="00A9388B" w:rsidRPr="002B31C6" w:rsidRDefault="00853FAB" w:rsidP="00246349">
      <w:pPr>
        <w:pStyle w:val="Subttulo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t>Análise estatística</w:t>
      </w:r>
    </w:p>
    <w:p w14:paraId="42658C46" w14:textId="212A585D" w:rsidR="0017635A" w:rsidRDefault="00554413" w:rsidP="0024634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 </w:t>
      </w:r>
      <w:r w:rsidR="00231C39">
        <w:rPr>
          <w:rFonts w:cs="Times New Roman"/>
          <w:szCs w:val="24"/>
        </w:rPr>
        <w:t>indicadores</w:t>
      </w:r>
      <w:r w:rsidR="003F554B">
        <w:rPr>
          <w:rFonts w:cs="Times New Roman"/>
          <w:szCs w:val="24"/>
        </w:rPr>
        <w:t xml:space="preserve"> energéticos </w:t>
      </w:r>
      <w:r w:rsidR="00272DD7">
        <w:rPr>
          <w:rFonts w:cs="Times New Roman"/>
          <w:szCs w:val="24"/>
        </w:rPr>
        <w:t xml:space="preserve">serão submetidos à </w:t>
      </w:r>
      <w:r w:rsidR="00DA381F">
        <w:rPr>
          <w:rFonts w:cs="Times New Roman"/>
          <w:szCs w:val="24"/>
        </w:rPr>
        <w:t>análise</w:t>
      </w:r>
      <w:r w:rsidR="00272DD7">
        <w:rPr>
          <w:rFonts w:cs="Times New Roman"/>
          <w:szCs w:val="24"/>
        </w:rPr>
        <w:t xml:space="preserve"> de variância</w:t>
      </w:r>
      <w:r w:rsidR="00046512">
        <w:rPr>
          <w:rFonts w:cs="Times New Roman"/>
          <w:szCs w:val="24"/>
        </w:rPr>
        <w:t xml:space="preserve"> no </w:t>
      </w:r>
      <w:r w:rsidR="00046512" w:rsidRPr="00046512">
        <w:rPr>
          <w:rFonts w:cs="Times New Roman"/>
          <w:i/>
          <w:iCs/>
          <w:szCs w:val="24"/>
        </w:rPr>
        <w:t xml:space="preserve">software </w:t>
      </w:r>
      <w:proofErr w:type="spellStart"/>
      <w:r w:rsidR="00046512" w:rsidRPr="00046512">
        <w:rPr>
          <w:rFonts w:cs="Times New Roman"/>
          <w:i/>
          <w:iCs/>
          <w:szCs w:val="24"/>
        </w:rPr>
        <w:t>RStudio</w:t>
      </w:r>
      <w:proofErr w:type="spellEnd"/>
      <w:r w:rsidR="00046512">
        <w:rPr>
          <w:rFonts w:cs="Times New Roman"/>
          <w:szCs w:val="24"/>
        </w:rPr>
        <w:t>,</w:t>
      </w:r>
      <w:r w:rsidR="00272DD7">
        <w:rPr>
          <w:rFonts w:cs="Times New Roman"/>
          <w:szCs w:val="24"/>
        </w:rPr>
        <w:t xml:space="preserve"> </w:t>
      </w:r>
      <w:r w:rsidR="00DA381F">
        <w:rPr>
          <w:rFonts w:cs="Times New Roman"/>
          <w:szCs w:val="24"/>
        </w:rPr>
        <w:t xml:space="preserve">pelo teste F à 5% de significância, se significativo, será aplicado o teste de </w:t>
      </w:r>
      <w:proofErr w:type="spellStart"/>
      <w:r w:rsidR="00DA381F">
        <w:rPr>
          <w:rFonts w:cs="Times New Roman"/>
          <w:szCs w:val="24"/>
        </w:rPr>
        <w:t>Tukey</w:t>
      </w:r>
      <w:proofErr w:type="spellEnd"/>
      <w:r w:rsidR="00046512">
        <w:rPr>
          <w:rFonts w:cs="Times New Roman"/>
          <w:szCs w:val="24"/>
        </w:rPr>
        <w:t xml:space="preserve"> para agrupar </w:t>
      </w:r>
      <w:r w:rsidR="00A343D1">
        <w:rPr>
          <w:rFonts w:cs="Times New Roman"/>
          <w:szCs w:val="24"/>
        </w:rPr>
        <w:t>os tratamentos</w:t>
      </w:r>
      <w:r w:rsidR="00231C39">
        <w:rPr>
          <w:rFonts w:cs="Times New Roman"/>
          <w:szCs w:val="24"/>
        </w:rPr>
        <w:t>.</w:t>
      </w:r>
    </w:p>
    <w:p w14:paraId="708CB69B" w14:textId="77777777" w:rsidR="0017635A" w:rsidRDefault="0017635A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B76F433" w14:textId="2CA61BCE" w:rsidR="00853FAB" w:rsidRDefault="00853FAB" w:rsidP="00246349">
      <w:pPr>
        <w:pStyle w:val="Ttulo1"/>
        <w:rPr>
          <w:rFonts w:cs="Times New Roman"/>
          <w:szCs w:val="24"/>
        </w:rPr>
      </w:pPr>
      <w:r w:rsidRPr="002B31C6">
        <w:rPr>
          <w:rFonts w:cs="Times New Roman"/>
          <w:szCs w:val="24"/>
        </w:rPr>
        <w:lastRenderedPageBreak/>
        <w:t>Resultados esperados</w:t>
      </w:r>
    </w:p>
    <w:p w14:paraId="0BA77F98" w14:textId="5B53CCA8" w:rsidR="00C41A8D" w:rsidRDefault="00D44C0D" w:rsidP="00246349">
      <w:r>
        <w:t xml:space="preserve">Como resultado esperado, tem-se que esse estudo proporcione uma análise abrangente </w:t>
      </w:r>
      <w:r w:rsidR="009D30CB">
        <w:t>dos saldos energéticos decorrentes do manejo da irrigação e fotoproteção, a</w:t>
      </w:r>
      <w:r w:rsidR="00B72E2B">
        <w:t xml:space="preserve"> </w:t>
      </w:r>
      <w:r w:rsidR="009D30CB">
        <w:t xml:space="preserve">fim de </w:t>
      </w:r>
      <w:r w:rsidR="008F56B5">
        <w:t xml:space="preserve">definir um manejo mais sustentável </w:t>
      </w:r>
      <w:r w:rsidR="00830604">
        <w:t>para produção de etanol</w:t>
      </w:r>
      <w:r w:rsidR="00746F43">
        <w:t>. Com impacto direto na</w:t>
      </w:r>
      <w:r w:rsidR="003E6319">
        <w:t xml:space="preserve"> redução </w:t>
      </w:r>
      <w:r w:rsidR="00746F43">
        <w:t xml:space="preserve">de custos de produção, aumento de eficiência do sistema agrícola e </w:t>
      </w:r>
      <w:r w:rsidR="007F513A">
        <w:t>gerar informações relevantes acerca d</w:t>
      </w:r>
      <w:r w:rsidR="002F3F8B">
        <w:t>a correlação do manejo hídrico e fotoproteção, que servirá de base</w:t>
      </w:r>
      <w:r w:rsidR="00E811C8">
        <w:t xml:space="preserve"> para tomada de decisão.</w:t>
      </w:r>
      <w:r w:rsidR="00746F43">
        <w:t xml:space="preserve"> </w:t>
      </w:r>
      <w:r w:rsidR="00830604">
        <w:t>Para isso, s</w:t>
      </w:r>
      <w:r w:rsidR="00B72E2B">
        <w:t>erão apresentadas tabelas com os quadrados médios e a significância dos tratamentos, em seguida, s</w:t>
      </w:r>
      <w:r w:rsidR="00830604">
        <w:t>erão apresentados gráficos de barra</w:t>
      </w:r>
      <w:r w:rsidR="005727CE">
        <w:t xml:space="preserve"> com os dados de insumo e produção de etanol, </w:t>
      </w:r>
      <w:r w:rsidR="00240336">
        <w:t>diferenciando por cor e letra acima da barra, cada grupo de semelhança estatística.</w:t>
      </w:r>
    </w:p>
    <w:p w14:paraId="6C02148E" w14:textId="12C9D66A" w:rsidR="00B6594C" w:rsidRDefault="00B6594C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4981721" w14:textId="3F7F247C" w:rsidR="00853FAB" w:rsidRPr="00E8274A" w:rsidRDefault="00853FAB" w:rsidP="00853FAB">
      <w:pPr>
        <w:pStyle w:val="Ttulo"/>
        <w:rPr>
          <w:rFonts w:cs="Times New Roman"/>
          <w:szCs w:val="24"/>
          <w:lang w:val="en-US"/>
        </w:rPr>
      </w:pPr>
      <w:r w:rsidRPr="00E8274A">
        <w:rPr>
          <w:rFonts w:cs="Times New Roman"/>
          <w:szCs w:val="24"/>
          <w:lang w:val="en-US"/>
        </w:rPr>
        <w:lastRenderedPageBreak/>
        <w:t>R</w:t>
      </w:r>
      <w:r w:rsidR="00845FCC" w:rsidRPr="00E8274A">
        <w:rPr>
          <w:rFonts w:cs="Times New Roman"/>
          <w:szCs w:val="24"/>
          <w:lang w:val="en-US"/>
        </w:rPr>
        <w:t>eferêncial Teórico</w:t>
      </w:r>
    </w:p>
    <w:p w14:paraId="0C1A0C41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  <w:lang w:val="en-US"/>
        </w:rPr>
      </w:pPr>
      <w:r w:rsidRPr="00491FEE">
        <w:rPr>
          <w:rFonts w:eastAsia="Arial" w:cs="Times New Roman"/>
          <w:szCs w:val="24"/>
          <w:lang w:val="en-US"/>
        </w:rPr>
        <w:t xml:space="preserve">ALVARES, C. A., SENTELHAS, P. C., &amp; DIAS, H. B. Southeastern Brazil inland tropicalization: </w:t>
      </w:r>
      <w:proofErr w:type="spellStart"/>
      <w:r w:rsidRPr="00491FEE">
        <w:rPr>
          <w:rFonts w:eastAsia="Arial" w:cs="Times New Roman"/>
          <w:szCs w:val="24"/>
          <w:lang w:val="en-US"/>
        </w:rPr>
        <w:t>Köppen</w:t>
      </w:r>
      <w:proofErr w:type="spellEnd"/>
      <w:r w:rsidRPr="00491FEE">
        <w:rPr>
          <w:rFonts w:eastAsia="Arial" w:cs="Times New Roman"/>
          <w:szCs w:val="24"/>
          <w:lang w:val="en-US"/>
        </w:rPr>
        <w:t xml:space="preserve"> system applied for detecting climate change throughout 100 years of meteorological observed data. </w:t>
      </w:r>
      <w:r w:rsidRPr="00491FEE">
        <w:rPr>
          <w:rFonts w:eastAsia="Arial" w:cs="Times New Roman"/>
          <w:b/>
          <w:szCs w:val="24"/>
          <w:lang w:val="en-US"/>
        </w:rPr>
        <w:t>Theoretical and Applied Climatology</w:t>
      </w:r>
      <w:r w:rsidRPr="00491FEE">
        <w:rPr>
          <w:rFonts w:eastAsia="Arial" w:cs="Times New Roman"/>
          <w:szCs w:val="24"/>
          <w:lang w:val="en-US"/>
        </w:rPr>
        <w:t>, v. 149, n. 3-4, p. 1431-1450, 2022.</w:t>
      </w:r>
    </w:p>
    <w:p w14:paraId="5E54DAA6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  <w:lang w:val="en-US"/>
        </w:rPr>
        <w:t xml:space="preserve">BOARI, F., DONADIO, A., PACE, B., SCHIATTONE, M.I., CANTORE, V. Kaolin improves salinity tolerance, water use efficiency and quality of tomato. </w:t>
      </w:r>
      <w:proofErr w:type="spellStart"/>
      <w:r w:rsidRPr="00491FEE">
        <w:rPr>
          <w:rFonts w:eastAsia="Arial" w:cs="Times New Roman"/>
          <w:b/>
          <w:bCs/>
          <w:szCs w:val="24"/>
        </w:rPr>
        <w:t>Agricultural</w:t>
      </w:r>
      <w:proofErr w:type="spellEnd"/>
      <w:r w:rsidRPr="00491FEE">
        <w:rPr>
          <w:rFonts w:eastAsia="Arial" w:cs="Times New Roman"/>
          <w:b/>
          <w:bCs/>
          <w:szCs w:val="24"/>
        </w:rPr>
        <w:t xml:space="preserve"> </w:t>
      </w:r>
      <w:proofErr w:type="spellStart"/>
      <w:r w:rsidRPr="00491FEE">
        <w:rPr>
          <w:rFonts w:eastAsia="Arial" w:cs="Times New Roman"/>
          <w:b/>
          <w:bCs/>
          <w:szCs w:val="24"/>
        </w:rPr>
        <w:t>Water</w:t>
      </w:r>
      <w:proofErr w:type="spellEnd"/>
      <w:r w:rsidRPr="00491FEE">
        <w:rPr>
          <w:rFonts w:eastAsia="Arial" w:cs="Times New Roman"/>
          <w:b/>
          <w:bCs/>
          <w:szCs w:val="24"/>
        </w:rPr>
        <w:t xml:space="preserve"> Management</w:t>
      </w:r>
      <w:r w:rsidRPr="00491FEE">
        <w:rPr>
          <w:rFonts w:eastAsia="Arial" w:cs="Times New Roman"/>
          <w:szCs w:val="24"/>
        </w:rPr>
        <w:t>. 2016. 167, 29–37. https://doi.org/10.1016/j.agwat.2015.12.021.</w:t>
      </w:r>
    </w:p>
    <w:p w14:paraId="7855059E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 xml:space="preserve">CONAB - </w:t>
      </w:r>
      <w:r w:rsidRPr="00491FEE">
        <w:rPr>
          <w:rFonts w:eastAsia="Arial" w:cs="Times New Roman"/>
          <w:b/>
          <w:szCs w:val="24"/>
        </w:rPr>
        <w:t>Companhia Nacional de Abastecimento</w:t>
      </w:r>
      <w:r w:rsidRPr="00491FEE">
        <w:rPr>
          <w:rFonts w:eastAsia="Arial" w:cs="Times New Roman"/>
          <w:szCs w:val="24"/>
        </w:rPr>
        <w:t>, Acompanhamento da Safra Brasileira. Cana-de-açúcar, v 11 - Safra 2023/24, n. 1 -Primeiro levantamento, Brasília, p. 1 – 55. abril 2023.</w:t>
      </w:r>
    </w:p>
    <w:p w14:paraId="70C56D24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>CATARELLA, H., QUAGGIO, J. A., MATTOS Jr. D., BOARETTO, R. M., RAIJ, B. V. Boletim 100: Recomendações de adubação e calagem para o Estado de São Paulo. Campinas: Instituto Agronômico. 2022. 500 p.</w:t>
      </w:r>
    </w:p>
    <w:p w14:paraId="60F8E9E6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 xml:space="preserve">CONSECANA- CONSELHO DOS PRODUTORES DE CANA-DE-AÇÚCAR, AÇÚCAR E ÁLCOOL DO ESTADO DE SÃO PAULO. Manual de Instruções. Piracicaba: </w:t>
      </w:r>
      <w:proofErr w:type="spellStart"/>
      <w:r w:rsidRPr="00491FEE">
        <w:rPr>
          <w:rFonts w:eastAsia="Arial" w:cs="Times New Roman"/>
          <w:szCs w:val="24"/>
        </w:rPr>
        <w:t>Consecana</w:t>
      </w:r>
      <w:proofErr w:type="spellEnd"/>
      <w:r w:rsidRPr="00491FEE">
        <w:rPr>
          <w:rFonts w:eastAsia="Arial" w:cs="Times New Roman"/>
          <w:szCs w:val="24"/>
        </w:rPr>
        <w:t>, 2006. 112p.</w:t>
      </w:r>
    </w:p>
    <w:p w14:paraId="48320514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  <w:lang w:val="en-US"/>
        </w:rPr>
      </w:pPr>
      <w:r w:rsidRPr="00491FEE">
        <w:rPr>
          <w:rFonts w:eastAsia="Arial" w:cs="Times New Roman"/>
          <w:szCs w:val="24"/>
        </w:rPr>
        <w:t xml:space="preserve">CTC – Centro de Tecnologia Canavieira. </w:t>
      </w:r>
      <w:proofErr w:type="spellStart"/>
      <w:r w:rsidRPr="00491FEE">
        <w:rPr>
          <w:rFonts w:eastAsia="Arial" w:cs="Times New Roman"/>
          <w:szCs w:val="24"/>
          <w:lang w:val="en-US"/>
        </w:rPr>
        <w:t>Variedades</w:t>
      </w:r>
      <w:proofErr w:type="spellEnd"/>
      <w:r w:rsidRPr="00491FEE">
        <w:rPr>
          <w:rFonts w:eastAsia="Arial" w:cs="Times New Roman"/>
          <w:szCs w:val="24"/>
          <w:lang w:val="en-US"/>
        </w:rPr>
        <w:t xml:space="preserve"> Bula Técnica. Agosto. 2021.</w:t>
      </w:r>
    </w:p>
    <w:p w14:paraId="41F9B904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  <w:lang w:val="en-US"/>
        </w:rPr>
        <w:t xml:space="preserve">DANIELS, J; ROACH, B. T. </w:t>
      </w:r>
      <w:proofErr w:type="gramStart"/>
      <w:r w:rsidRPr="00491FEE">
        <w:rPr>
          <w:rFonts w:eastAsia="Arial" w:cs="Times New Roman"/>
          <w:szCs w:val="24"/>
          <w:lang w:val="en-US"/>
        </w:rPr>
        <w:t>Taxonomy</w:t>
      </w:r>
      <w:proofErr w:type="gramEnd"/>
      <w:r w:rsidRPr="00491FEE">
        <w:rPr>
          <w:rFonts w:eastAsia="Arial" w:cs="Times New Roman"/>
          <w:szCs w:val="24"/>
          <w:lang w:val="en-US"/>
        </w:rPr>
        <w:t xml:space="preserve"> and evolution. In: </w:t>
      </w:r>
      <w:r w:rsidRPr="00491FEE">
        <w:rPr>
          <w:rFonts w:eastAsia="Arial" w:cs="Times New Roman"/>
          <w:b/>
          <w:szCs w:val="24"/>
          <w:lang w:val="en-US"/>
        </w:rPr>
        <w:t>Developments in crop science</w:t>
      </w:r>
      <w:r w:rsidRPr="00491FEE">
        <w:rPr>
          <w:rFonts w:eastAsia="Arial" w:cs="Times New Roman"/>
          <w:szCs w:val="24"/>
          <w:lang w:val="en-US"/>
        </w:rPr>
        <w:t xml:space="preserve">. </w:t>
      </w:r>
      <w:r w:rsidRPr="00491FEE">
        <w:rPr>
          <w:rFonts w:eastAsia="Arial" w:cs="Times New Roman"/>
          <w:szCs w:val="24"/>
        </w:rPr>
        <w:t>Elsevier, 1987. p. 7-84.</w:t>
      </w:r>
    </w:p>
    <w:p w14:paraId="243BA5BF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  <w:lang w:val="en-US"/>
        </w:rPr>
      </w:pPr>
      <w:r w:rsidRPr="00491FEE">
        <w:rPr>
          <w:rFonts w:eastAsia="Arial" w:cs="Times New Roman"/>
          <w:szCs w:val="24"/>
        </w:rPr>
        <w:t xml:space="preserve">DELGADO, A. A.; CÉSAR, M. A. A. </w:t>
      </w:r>
      <w:r w:rsidRPr="00491FEE">
        <w:rPr>
          <w:rFonts w:eastAsia="Arial" w:cs="Times New Roman"/>
          <w:b/>
          <w:szCs w:val="24"/>
        </w:rPr>
        <w:t>Elementos de tecnologia e engenharia do açúcar de cana</w:t>
      </w:r>
      <w:r w:rsidRPr="00491FEE">
        <w:rPr>
          <w:rFonts w:eastAsia="Arial" w:cs="Times New Roman"/>
          <w:szCs w:val="24"/>
        </w:rPr>
        <w:t xml:space="preserve">. </w:t>
      </w:r>
      <w:r w:rsidRPr="00491FEE">
        <w:rPr>
          <w:rFonts w:eastAsia="Arial" w:cs="Times New Roman"/>
          <w:szCs w:val="24"/>
          <w:lang w:val="en-US"/>
        </w:rPr>
        <w:t xml:space="preserve">Piracicaba: ESALQ, Depto. de </w:t>
      </w:r>
      <w:proofErr w:type="spellStart"/>
      <w:r w:rsidRPr="00491FEE">
        <w:rPr>
          <w:rFonts w:eastAsia="Arial" w:cs="Times New Roman"/>
          <w:szCs w:val="24"/>
          <w:lang w:val="en-US"/>
        </w:rPr>
        <w:t>Tecnologia</w:t>
      </w:r>
      <w:proofErr w:type="spellEnd"/>
      <w:r w:rsidRPr="00491FEE">
        <w:rPr>
          <w:rFonts w:eastAsia="Arial" w:cs="Times New Roman"/>
          <w:szCs w:val="24"/>
          <w:lang w:val="en-US"/>
        </w:rPr>
        <w:t xml:space="preserve"> Rural, 1977. 364 p.</w:t>
      </w:r>
    </w:p>
    <w:p w14:paraId="1F525B51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  <w:lang w:val="en-US"/>
        </w:rPr>
      </w:pPr>
      <w:r w:rsidRPr="00491FEE">
        <w:rPr>
          <w:rFonts w:eastAsia="Arial" w:cs="Times New Roman"/>
          <w:szCs w:val="24"/>
          <w:lang w:val="en-US"/>
        </w:rPr>
        <w:lastRenderedPageBreak/>
        <w:t xml:space="preserve">FAROOQ, N., GHEEWALA, S. H. Assessing the impact of climate change on sugarcane and adaptation actions in Pakistan. </w:t>
      </w:r>
      <w:r w:rsidRPr="00491FEE">
        <w:rPr>
          <w:rFonts w:eastAsia="Arial" w:cs="Times New Roman"/>
          <w:b/>
          <w:szCs w:val="24"/>
          <w:lang w:val="en-US"/>
        </w:rPr>
        <w:t>Acta Geophysica</w:t>
      </w:r>
      <w:r w:rsidRPr="00491FEE">
        <w:rPr>
          <w:rFonts w:eastAsia="Arial" w:cs="Times New Roman"/>
          <w:szCs w:val="24"/>
          <w:lang w:val="en-US"/>
        </w:rPr>
        <w:t>. v. 68, p. 1489–1503, 2020. https://doi.org/ 10.1007/s11600-020-00463-8.</w:t>
      </w:r>
    </w:p>
    <w:p w14:paraId="3585FE7B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  <w:lang w:val="en-US"/>
        </w:rPr>
      </w:pPr>
      <w:r w:rsidRPr="00491FEE">
        <w:rPr>
          <w:rFonts w:eastAsia="Arial" w:cs="Times New Roman"/>
          <w:szCs w:val="24"/>
          <w:lang w:val="en-US"/>
        </w:rPr>
        <w:t xml:space="preserve">INMAN-BAMBER, G.; SMITH, D. Water relations in sugarcane and response to water deficits. </w:t>
      </w:r>
      <w:r w:rsidRPr="00491FEE">
        <w:rPr>
          <w:rFonts w:eastAsia="Arial" w:cs="Times New Roman"/>
          <w:b/>
          <w:szCs w:val="24"/>
          <w:lang w:val="en-US"/>
        </w:rPr>
        <w:t>Field Crops Research</w:t>
      </w:r>
      <w:r w:rsidRPr="00491FEE">
        <w:rPr>
          <w:rFonts w:eastAsia="Arial" w:cs="Times New Roman"/>
          <w:szCs w:val="24"/>
          <w:lang w:val="en-US"/>
        </w:rPr>
        <w:t>, Amsterdam, v. 92, n. 2/3, p. 185-202, 2005.</w:t>
      </w:r>
    </w:p>
    <w:p w14:paraId="7080762B" w14:textId="77777777" w:rsidR="00491FEE" w:rsidRPr="00491FEE" w:rsidRDefault="00491FEE" w:rsidP="00491FEE">
      <w:pPr>
        <w:spacing w:before="120" w:after="120"/>
        <w:ind w:firstLine="0"/>
        <w:rPr>
          <w:rFonts w:cs="Times New Roman"/>
          <w:szCs w:val="24"/>
        </w:rPr>
      </w:pPr>
      <w:r w:rsidRPr="00491FEE">
        <w:rPr>
          <w:rFonts w:cs="Times New Roman"/>
          <w:szCs w:val="24"/>
          <w:lang w:val="en-US"/>
        </w:rPr>
        <w:t xml:space="preserve">LOPES, C. H.; BORGES, M. T. M. R. </w:t>
      </w:r>
      <w:proofErr w:type="spellStart"/>
      <w:r w:rsidRPr="00491FEE">
        <w:rPr>
          <w:rFonts w:cs="Times New Roman"/>
          <w:szCs w:val="24"/>
          <w:lang w:val="en-US"/>
        </w:rPr>
        <w:t>Introdução</w:t>
      </w:r>
      <w:proofErr w:type="spellEnd"/>
      <w:r w:rsidRPr="00491FEE">
        <w:rPr>
          <w:rFonts w:cs="Times New Roman"/>
          <w:szCs w:val="24"/>
          <w:lang w:val="en-US"/>
        </w:rPr>
        <w:t xml:space="preserve"> à </w:t>
      </w:r>
      <w:proofErr w:type="spellStart"/>
      <w:r w:rsidRPr="00491FEE">
        <w:rPr>
          <w:rFonts w:cs="Times New Roman"/>
          <w:szCs w:val="24"/>
          <w:lang w:val="en-US"/>
        </w:rPr>
        <w:t>tecnologia</w:t>
      </w:r>
      <w:proofErr w:type="spellEnd"/>
      <w:r w:rsidRPr="00491FEE">
        <w:rPr>
          <w:rFonts w:cs="Times New Roman"/>
          <w:szCs w:val="24"/>
          <w:lang w:val="en-US"/>
        </w:rPr>
        <w:t xml:space="preserve"> </w:t>
      </w:r>
      <w:proofErr w:type="spellStart"/>
      <w:r w:rsidRPr="00491FEE">
        <w:rPr>
          <w:rFonts w:cs="Times New Roman"/>
          <w:szCs w:val="24"/>
          <w:lang w:val="en-US"/>
        </w:rPr>
        <w:t>agroindustrial</w:t>
      </w:r>
      <w:proofErr w:type="spellEnd"/>
      <w:r w:rsidRPr="00491FEE">
        <w:rPr>
          <w:rFonts w:cs="Times New Roman"/>
          <w:szCs w:val="24"/>
          <w:lang w:val="en-US"/>
        </w:rPr>
        <w:t xml:space="preserve">. 1. ed. </w:t>
      </w:r>
      <w:r w:rsidRPr="00491FEE">
        <w:rPr>
          <w:rFonts w:cs="Times New Roman"/>
          <w:szCs w:val="24"/>
        </w:rPr>
        <w:t>São Carlos: EDUFSCAR, 2009. v. 1. 193p .</w:t>
      </w:r>
    </w:p>
    <w:p w14:paraId="0B424663" w14:textId="77777777" w:rsidR="00491FEE" w:rsidRPr="00491FEE" w:rsidRDefault="00491FEE" w:rsidP="00491FEE">
      <w:pPr>
        <w:spacing w:before="120" w:after="120"/>
        <w:ind w:firstLine="0"/>
        <w:rPr>
          <w:rFonts w:cs="Times New Roman"/>
          <w:szCs w:val="24"/>
          <w:lang w:val="en-US"/>
        </w:rPr>
      </w:pPr>
      <w:r w:rsidRPr="00491FEE">
        <w:rPr>
          <w:rFonts w:cs="Times New Roman"/>
          <w:szCs w:val="24"/>
        </w:rPr>
        <w:t xml:space="preserve">MACEDO, I. C.; SEABRA, J. EA; SILVA, J. EAR. </w:t>
      </w:r>
      <w:proofErr w:type="spellStart"/>
      <w:r w:rsidRPr="00491FEE">
        <w:rPr>
          <w:rFonts w:cs="Times New Roman"/>
          <w:szCs w:val="24"/>
          <w:lang w:val="en-US"/>
        </w:rPr>
        <w:t>Green house</w:t>
      </w:r>
      <w:proofErr w:type="spellEnd"/>
      <w:r w:rsidRPr="00491FEE">
        <w:rPr>
          <w:rFonts w:cs="Times New Roman"/>
          <w:szCs w:val="24"/>
          <w:lang w:val="en-US"/>
        </w:rPr>
        <w:t xml:space="preserve"> gases emissions in the production and use of ethanol from sugarcane in Brazil: the 2005/2006 averages and a prediction for 2020. </w:t>
      </w:r>
      <w:r w:rsidRPr="00491FEE">
        <w:rPr>
          <w:rFonts w:cs="Times New Roman"/>
          <w:b/>
          <w:bCs/>
          <w:szCs w:val="24"/>
          <w:lang w:val="en-US"/>
        </w:rPr>
        <w:t>Biomass and bioenergy</w:t>
      </w:r>
      <w:r w:rsidRPr="00491FEE">
        <w:rPr>
          <w:rFonts w:cs="Times New Roman"/>
          <w:szCs w:val="24"/>
          <w:lang w:val="en-US"/>
        </w:rPr>
        <w:t>, v. 32, n. 7, p. 582-595, 2008.</w:t>
      </w:r>
    </w:p>
    <w:p w14:paraId="0892F3B3" w14:textId="77777777" w:rsidR="00491FEE" w:rsidRPr="00491FEE" w:rsidRDefault="00491FEE" w:rsidP="00491FEE">
      <w:pPr>
        <w:spacing w:before="120" w:after="120"/>
        <w:ind w:firstLine="0"/>
        <w:rPr>
          <w:rFonts w:cs="Times New Roman"/>
          <w:szCs w:val="24"/>
          <w:lang w:val="en-US"/>
        </w:rPr>
      </w:pPr>
      <w:r w:rsidRPr="00491FEE">
        <w:rPr>
          <w:rFonts w:cs="Times New Roman"/>
          <w:szCs w:val="24"/>
          <w:lang w:val="en-US"/>
        </w:rPr>
        <w:t xml:space="preserve">PFAHL, S.; O’GORMAN, P.A.; FISCHER, E.M. Understanding the regional pattern of projected future changes in extreme precipitation. </w:t>
      </w:r>
      <w:r w:rsidRPr="00491FEE">
        <w:rPr>
          <w:rFonts w:cs="Times New Roman"/>
          <w:b/>
          <w:bCs/>
          <w:szCs w:val="24"/>
          <w:lang w:val="en-US"/>
        </w:rPr>
        <w:t>Nature Climate Change</w:t>
      </w:r>
      <w:r w:rsidRPr="00491FEE">
        <w:rPr>
          <w:rFonts w:cs="Times New Roman"/>
          <w:szCs w:val="24"/>
          <w:lang w:val="en-US"/>
        </w:rPr>
        <w:t>, v. 7, n. 6, p. 423-427, 2017.https://doi.org/10.1038/NCLIMATE3287.</w:t>
      </w:r>
    </w:p>
    <w:p w14:paraId="089BC231" w14:textId="77777777" w:rsidR="00491FEE" w:rsidRPr="00491FEE" w:rsidRDefault="00491FEE" w:rsidP="00491FEE">
      <w:pPr>
        <w:spacing w:before="120" w:after="120"/>
        <w:ind w:firstLine="0"/>
        <w:rPr>
          <w:rFonts w:cs="Times New Roman"/>
          <w:szCs w:val="24"/>
        </w:rPr>
      </w:pPr>
      <w:r w:rsidRPr="00491FEE">
        <w:rPr>
          <w:rFonts w:cs="Times New Roman"/>
          <w:szCs w:val="24"/>
        </w:rPr>
        <w:t xml:space="preserve">ROMANELLI, T . Sustentabilidade energética de um sistema de produção da cultura de eucalipto. Universidade de São Paulo, Escola Superior de </w:t>
      </w:r>
      <w:proofErr w:type="spellStart"/>
      <w:r w:rsidRPr="00491FEE">
        <w:rPr>
          <w:rFonts w:cs="Times New Roman"/>
          <w:szCs w:val="24"/>
        </w:rPr>
        <w:t>Agriculcura</w:t>
      </w:r>
      <w:proofErr w:type="spellEnd"/>
      <w:r w:rsidRPr="00491FEE">
        <w:rPr>
          <w:rFonts w:cs="Times New Roman"/>
          <w:szCs w:val="24"/>
        </w:rPr>
        <w:t xml:space="preserve"> Luiz de Queiroz. Tese de Doutorado, 2007.</w:t>
      </w:r>
    </w:p>
    <w:p w14:paraId="5A759310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color w:val="0000FF"/>
          <w:szCs w:val="24"/>
          <w:u w:val="single"/>
          <w:lang w:val="en-US"/>
        </w:rPr>
      </w:pPr>
      <w:r w:rsidRPr="00491FEE">
        <w:rPr>
          <w:rFonts w:eastAsia="Arial" w:cs="Times New Roman"/>
          <w:szCs w:val="24"/>
        </w:rPr>
        <w:t xml:space="preserve">SEKI, K., TORIDE, N., VAN GENUCHTEN, M, Th. </w:t>
      </w:r>
      <w:r w:rsidRPr="00491FEE">
        <w:rPr>
          <w:rFonts w:eastAsia="Arial" w:cs="Times New Roman"/>
          <w:szCs w:val="24"/>
          <w:lang w:val="en-US"/>
        </w:rPr>
        <w:t xml:space="preserve">Evaluation of a general model for multimodal unsaturated soil hydraulic properties. J. </w:t>
      </w:r>
      <w:proofErr w:type="spellStart"/>
      <w:r w:rsidRPr="00491FEE">
        <w:rPr>
          <w:rFonts w:eastAsia="Arial" w:cs="Times New Roman"/>
          <w:b/>
          <w:bCs/>
          <w:szCs w:val="24"/>
          <w:lang w:val="en-US"/>
        </w:rPr>
        <w:t>Hydrol</w:t>
      </w:r>
      <w:proofErr w:type="spellEnd"/>
      <w:r w:rsidRPr="00491FEE">
        <w:rPr>
          <w:rFonts w:eastAsia="Arial" w:cs="Times New Roman"/>
          <w:b/>
          <w:bCs/>
          <w:szCs w:val="24"/>
          <w:lang w:val="en-US"/>
        </w:rPr>
        <w:t xml:space="preserve">. </w:t>
      </w:r>
      <w:proofErr w:type="spellStart"/>
      <w:r w:rsidRPr="00491FEE">
        <w:rPr>
          <w:rFonts w:eastAsia="Arial" w:cs="Times New Roman"/>
          <w:b/>
          <w:bCs/>
          <w:szCs w:val="24"/>
          <w:lang w:val="en-US"/>
        </w:rPr>
        <w:t>Hydromech</w:t>
      </w:r>
      <w:proofErr w:type="spellEnd"/>
      <w:r w:rsidRPr="00491FEE">
        <w:rPr>
          <w:rFonts w:eastAsia="Arial" w:cs="Times New Roman"/>
          <w:szCs w:val="24"/>
          <w:lang w:val="en-US"/>
        </w:rPr>
        <w:t xml:space="preserve">. 71(1): 22-34, 2023.  </w:t>
      </w:r>
      <w:hyperlink r:id="rId7">
        <w:r w:rsidRPr="00491FEE">
          <w:rPr>
            <w:rFonts w:eastAsia="Arial" w:cs="Times New Roman"/>
            <w:color w:val="0000FF"/>
            <w:szCs w:val="24"/>
            <w:u w:val="single"/>
            <w:lang w:val="en-US"/>
          </w:rPr>
          <w:t>https://doi.org/10.2478/johh-2022-0039</w:t>
        </w:r>
      </w:hyperlink>
    </w:p>
    <w:p w14:paraId="6B97AEAB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caps/>
          <w:szCs w:val="24"/>
          <w:lang w:val="en-US"/>
        </w:rPr>
        <w:t>Shelar, M. N., Matsagar, V. K., Patil, V. S., &amp; Barahate, S. D.</w:t>
      </w:r>
      <w:r w:rsidRPr="00491FEE">
        <w:rPr>
          <w:rFonts w:eastAsia="Arial" w:cs="Times New Roman"/>
          <w:szCs w:val="24"/>
          <w:lang w:val="en-US"/>
        </w:rPr>
        <w:t xml:space="preserve"> Net energy analysis of </w:t>
      </w:r>
      <w:proofErr w:type="gramStart"/>
      <w:r w:rsidRPr="00491FEE">
        <w:rPr>
          <w:rFonts w:eastAsia="Arial" w:cs="Times New Roman"/>
          <w:szCs w:val="24"/>
          <w:lang w:val="en-US"/>
        </w:rPr>
        <w:t>sugarcane based</w:t>
      </w:r>
      <w:proofErr w:type="gramEnd"/>
      <w:r w:rsidRPr="00491FEE">
        <w:rPr>
          <w:rFonts w:eastAsia="Arial" w:cs="Times New Roman"/>
          <w:szCs w:val="24"/>
          <w:lang w:val="en-US"/>
        </w:rPr>
        <w:t xml:space="preserve"> ethanol production. </w:t>
      </w:r>
      <w:proofErr w:type="spellStart"/>
      <w:r w:rsidRPr="00491FEE">
        <w:rPr>
          <w:rFonts w:eastAsia="Arial" w:cs="Times New Roman"/>
          <w:b/>
          <w:bCs/>
          <w:szCs w:val="24"/>
        </w:rPr>
        <w:t>Cleaner</w:t>
      </w:r>
      <w:proofErr w:type="spellEnd"/>
      <w:r w:rsidRPr="00491FEE">
        <w:rPr>
          <w:rFonts w:eastAsia="Arial" w:cs="Times New Roman"/>
          <w:b/>
          <w:bCs/>
          <w:szCs w:val="24"/>
        </w:rPr>
        <w:t xml:space="preserve"> Energy Systems</w:t>
      </w:r>
      <w:r w:rsidRPr="00491FEE">
        <w:rPr>
          <w:rFonts w:eastAsia="Arial" w:cs="Times New Roman"/>
          <w:szCs w:val="24"/>
        </w:rPr>
        <w:t>, v. 4, p. 100059, 2023.</w:t>
      </w:r>
    </w:p>
    <w:p w14:paraId="3514B881" w14:textId="77777777" w:rsidR="00491FEE" w:rsidRPr="00491FEE" w:rsidRDefault="00491FEE" w:rsidP="00491FEE">
      <w:pPr>
        <w:spacing w:before="120" w:after="120"/>
        <w:ind w:firstLine="0"/>
        <w:rPr>
          <w:rFonts w:cs="Times New Roman"/>
          <w:szCs w:val="24"/>
        </w:rPr>
      </w:pPr>
      <w:r w:rsidRPr="00491FEE">
        <w:rPr>
          <w:rFonts w:cs="Times New Roman"/>
          <w:szCs w:val="24"/>
        </w:rPr>
        <w:lastRenderedPageBreak/>
        <w:t xml:space="preserve">SILVA, B. F. R. A busca por uma matriz energética sustentável por meio do biodiesel de algas: características, implicações e perspectivas. </w:t>
      </w:r>
      <w:r w:rsidRPr="00491FEE">
        <w:rPr>
          <w:rFonts w:cs="Times New Roman"/>
          <w:b/>
          <w:bCs/>
          <w:szCs w:val="24"/>
        </w:rPr>
        <w:t>Revista Educação Pública</w:t>
      </w:r>
      <w:r w:rsidRPr="00491FEE">
        <w:rPr>
          <w:rFonts w:cs="Times New Roman"/>
          <w:szCs w:val="24"/>
        </w:rPr>
        <w:t>, v. 13, n. 48, 2013.</w:t>
      </w:r>
    </w:p>
    <w:p w14:paraId="76F6F35E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 xml:space="preserve">SILVA, P. S. O., SENA, E. D. O. A., GONZAGA, M. I. S., DE OLIVEIRA JUNIOR, L. F. G., DOS SANTOS MACIEL, L. B., DOS SANTOS, M. P. F., ... </w:t>
      </w:r>
      <w:r w:rsidRPr="00491FEE">
        <w:rPr>
          <w:rFonts w:eastAsia="Arial" w:cs="Times New Roman"/>
          <w:szCs w:val="24"/>
          <w:lang w:val="en-US"/>
        </w:rPr>
        <w:t xml:space="preserve">&amp; CARNELOSSI, M. A. G. Calcium carbonate particle films and water regimes affect the acclimatization, ecophysiology and reproduction of tomato. </w:t>
      </w:r>
      <w:r w:rsidRPr="00491FEE">
        <w:rPr>
          <w:rFonts w:eastAsia="Arial" w:cs="Times New Roman"/>
          <w:b/>
          <w:szCs w:val="24"/>
        </w:rPr>
        <w:t xml:space="preserve">Environmental </w:t>
      </w:r>
      <w:proofErr w:type="spellStart"/>
      <w:r w:rsidRPr="00491FEE">
        <w:rPr>
          <w:rFonts w:eastAsia="Arial" w:cs="Times New Roman"/>
          <w:b/>
          <w:szCs w:val="24"/>
        </w:rPr>
        <w:t>and</w:t>
      </w:r>
      <w:proofErr w:type="spellEnd"/>
      <w:r w:rsidRPr="00491FEE">
        <w:rPr>
          <w:rFonts w:eastAsia="Arial" w:cs="Times New Roman"/>
          <w:b/>
          <w:szCs w:val="24"/>
        </w:rPr>
        <w:t xml:space="preserve"> Experimental </w:t>
      </w:r>
      <w:proofErr w:type="spellStart"/>
      <w:r w:rsidRPr="00491FEE">
        <w:rPr>
          <w:rFonts w:eastAsia="Arial" w:cs="Times New Roman"/>
          <w:b/>
          <w:szCs w:val="24"/>
        </w:rPr>
        <w:t>Botany</w:t>
      </w:r>
      <w:proofErr w:type="spellEnd"/>
      <w:r w:rsidRPr="00491FEE">
        <w:rPr>
          <w:rFonts w:eastAsia="Arial" w:cs="Times New Roman"/>
          <w:szCs w:val="24"/>
        </w:rPr>
        <w:t>, 165, 19-29. 2019.</w:t>
      </w:r>
    </w:p>
    <w:p w14:paraId="7AE35A6D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 xml:space="preserve">TAIZ, L., ZEIGER, E., MØLLER, I. M., &amp; MURPHY, A. </w:t>
      </w:r>
      <w:r w:rsidRPr="00491FEE">
        <w:rPr>
          <w:rFonts w:eastAsia="Arial" w:cs="Times New Roman"/>
          <w:b/>
          <w:szCs w:val="24"/>
        </w:rPr>
        <w:t>Fisiologia e desenvolvimento vegetal</w:t>
      </w:r>
      <w:r w:rsidRPr="00491FEE">
        <w:rPr>
          <w:rFonts w:eastAsia="Arial" w:cs="Times New Roman"/>
          <w:szCs w:val="24"/>
        </w:rPr>
        <w:t>. Artmed Editora, 2017.</w:t>
      </w:r>
    </w:p>
    <w:p w14:paraId="7F10FC68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 xml:space="preserve">TEIXEIRA, C. A., LACERDA FILHO, A. F. D., PEREIRA, S., SOUZA, L. H. D.; RUSSO, J. R. Balanço energético de uma cultura de tomate. </w:t>
      </w:r>
      <w:r w:rsidRPr="00491FEE">
        <w:rPr>
          <w:rFonts w:eastAsia="Arial" w:cs="Times New Roman"/>
          <w:b/>
          <w:bCs/>
          <w:szCs w:val="24"/>
        </w:rPr>
        <w:t>Revista Brasileira de Engenharia Agrícola e Ambiental</w:t>
      </w:r>
      <w:r w:rsidRPr="00491FEE">
        <w:rPr>
          <w:rFonts w:eastAsia="Arial" w:cs="Times New Roman"/>
          <w:szCs w:val="24"/>
        </w:rPr>
        <w:t>, v. 9, p. 429-432, 2005.</w:t>
      </w:r>
    </w:p>
    <w:p w14:paraId="49B028E0" w14:textId="77777777" w:rsidR="00491FEE" w:rsidRPr="00491FEE" w:rsidRDefault="00491FEE" w:rsidP="00491FEE">
      <w:pPr>
        <w:spacing w:before="120" w:after="120"/>
        <w:ind w:firstLine="0"/>
        <w:rPr>
          <w:rFonts w:eastAsia="Arial" w:cs="Times New Roman"/>
          <w:szCs w:val="24"/>
        </w:rPr>
      </w:pPr>
      <w:r w:rsidRPr="00491FEE">
        <w:rPr>
          <w:rFonts w:eastAsia="Arial" w:cs="Times New Roman"/>
          <w:szCs w:val="24"/>
        </w:rPr>
        <w:t>VIDAL, M. D. F. Açúcar: cenário mundial e situação de produção no Brasil e no Nordeste brasileiro, 2021.</w:t>
      </w:r>
    </w:p>
    <w:p w14:paraId="061D0666" w14:textId="77777777" w:rsidR="00491FEE" w:rsidRPr="00B07327" w:rsidRDefault="00491FEE" w:rsidP="00491FEE">
      <w:pPr>
        <w:spacing w:before="120" w:after="120"/>
        <w:ind w:firstLine="0"/>
        <w:rPr>
          <w:rFonts w:eastAsia="Arial" w:cs="Times New Roman"/>
          <w:szCs w:val="24"/>
          <w:lang w:val="en-US"/>
        </w:rPr>
      </w:pPr>
      <w:r w:rsidRPr="00491FEE">
        <w:rPr>
          <w:rFonts w:eastAsia="Arial" w:cs="Times New Roman"/>
          <w:szCs w:val="24"/>
          <w:lang w:val="en-US"/>
        </w:rPr>
        <w:t xml:space="preserve">WANG, Y., LIU, A., YE, R., WANG, W., LI, X. Transglutaminase-induced crosslinking of gelatin-calcium carbonate composite films. </w:t>
      </w:r>
      <w:r w:rsidRPr="00491FEE">
        <w:rPr>
          <w:rFonts w:eastAsia="Arial" w:cs="Times New Roman"/>
          <w:b/>
          <w:szCs w:val="24"/>
          <w:lang w:val="en-US"/>
        </w:rPr>
        <w:t>Food Chem</w:t>
      </w:r>
      <w:r w:rsidRPr="00491FEE">
        <w:rPr>
          <w:rFonts w:eastAsia="Arial" w:cs="Times New Roman"/>
          <w:szCs w:val="24"/>
          <w:lang w:val="en-US"/>
        </w:rPr>
        <w:t>. 166, 414–422. 2015. https://doi.org/10.1016/j.foodchem.2014.06.062.</w:t>
      </w:r>
    </w:p>
    <w:p w14:paraId="75D91BC2" w14:textId="77777777" w:rsidR="00954973" w:rsidRPr="00A655D6" w:rsidRDefault="00954973" w:rsidP="00491FEE">
      <w:pPr>
        <w:spacing w:before="120" w:after="120"/>
        <w:ind w:firstLine="0"/>
        <w:rPr>
          <w:rFonts w:cs="Times New Roman"/>
          <w:szCs w:val="24"/>
        </w:rPr>
      </w:pPr>
    </w:p>
    <w:sectPr w:rsidR="00954973" w:rsidRPr="00A65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A09"/>
    <w:multiLevelType w:val="multilevel"/>
    <w:tmpl w:val="1004D10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D6137D5"/>
    <w:multiLevelType w:val="hybridMultilevel"/>
    <w:tmpl w:val="51E2DD06"/>
    <w:lvl w:ilvl="0" w:tplc="BDBC5D2A">
      <w:start w:val="1"/>
      <w:numFmt w:val="decimal"/>
      <w:pStyle w:val="Subttul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1562">
    <w:abstractNumId w:val="0"/>
  </w:num>
  <w:num w:numId="2" w16cid:durableId="135472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94"/>
    <w:rsid w:val="000042FE"/>
    <w:rsid w:val="0000570E"/>
    <w:rsid w:val="00014069"/>
    <w:rsid w:val="00014149"/>
    <w:rsid w:val="00046512"/>
    <w:rsid w:val="00084F6C"/>
    <w:rsid w:val="0009180E"/>
    <w:rsid w:val="000A01E9"/>
    <w:rsid w:val="000B31A4"/>
    <w:rsid w:val="000B4352"/>
    <w:rsid w:val="000C47E6"/>
    <w:rsid w:val="000D2AA5"/>
    <w:rsid w:val="000E1EBA"/>
    <w:rsid w:val="000F64D5"/>
    <w:rsid w:val="00103F3F"/>
    <w:rsid w:val="001223E9"/>
    <w:rsid w:val="00122B41"/>
    <w:rsid w:val="00125BE9"/>
    <w:rsid w:val="00131C26"/>
    <w:rsid w:val="00137648"/>
    <w:rsid w:val="00164171"/>
    <w:rsid w:val="0017635A"/>
    <w:rsid w:val="0018666D"/>
    <w:rsid w:val="001A285E"/>
    <w:rsid w:val="001A6CA5"/>
    <w:rsid w:val="001E759E"/>
    <w:rsid w:val="002055AA"/>
    <w:rsid w:val="00207D46"/>
    <w:rsid w:val="002157A8"/>
    <w:rsid w:val="00226D7B"/>
    <w:rsid w:val="00231C39"/>
    <w:rsid w:val="00240336"/>
    <w:rsid w:val="00242CDE"/>
    <w:rsid w:val="0024361D"/>
    <w:rsid w:val="00246349"/>
    <w:rsid w:val="00262725"/>
    <w:rsid w:val="00263065"/>
    <w:rsid w:val="002716A0"/>
    <w:rsid w:val="00272DD7"/>
    <w:rsid w:val="0029594E"/>
    <w:rsid w:val="002A729C"/>
    <w:rsid w:val="002A74F5"/>
    <w:rsid w:val="002B1DD2"/>
    <w:rsid w:val="002B31C6"/>
    <w:rsid w:val="002D265B"/>
    <w:rsid w:val="002D5BCF"/>
    <w:rsid w:val="002E301B"/>
    <w:rsid w:val="002E3910"/>
    <w:rsid w:val="002F3F8B"/>
    <w:rsid w:val="002F7372"/>
    <w:rsid w:val="0032696F"/>
    <w:rsid w:val="00332769"/>
    <w:rsid w:val="003665AD"/>
    <w:rsid w:val="00391CC6"/>
    <w:rsid w:val="00392A42"/>
    <w:rsid w:val="003B4C75"/>
    <w:rsid w:val="003C261C"/>
    <w:rsid w:val="003C6A64"/>
    <w:rsid w:val="003D21AE"/>
    <w:rsid w:val="003D2602"/>
    <w:rsid w:val="003D75F5"/>
    <w:rsid w:val="003E23EF"/>
    <w:rsid w:val="003E48BB"/>
    <w:rsid w:val="003E6319"/>
    <w:rsid w:val="003F554B"/>
    <w:rsid w:val="00405B0D"/>
    <w:rsid w:val="0043328F"/>
    <w:rsid w:val="00444749"/>
    <w:rsid w:val="004529E3"/>
    <w:rsid w:val="00456CF6"/>
    <w:rsid w:val="00457247"/>
    <w:rsid w:val="004619BD"/>
    <w:rsid w:val="0048015F"/>
    <w:rsid w:val="00482816"/>
    <w:rsid w:val="00483AC6"/>
    <w:rsid w:val="00491FEE"/>
    <w:rsid w:val="0049612F"/>
    <w:rsid w:val="004C3524"/>
    <w:rsid w:val="004D2DE3"/>
    <w:rsid w:val="004F65BD"/>
    <w:rsid w:val="005002F4"/>
    <w:rsid w:val="0051622E"/>
    <w:rsid w:val="0053099F"/>
    <w:rsid w:val="00554413"/>
    <w:rsid w:val="00563459"/>
    <w:rsid w:val="005727CE"/>
    <w:rsid w:val="00582F6E"/>
    <w:rsid w:val="005834B7"/>
    <w:rsid w:val="005838FC"/>
    <w:rsid w:val="005A1702"/>
    <w:rsid w:val="005A3A51"/>
    <w:rsid w:val="005C1AB9"/>
    <w:rsid w:val="005C5FD1"/>
    <w:rsid w:val="005D5FB4"/>
    <w:rsid w:val="005E092C"/>
    <w:rsid w:val="00604984"/>
    <w:rsid w:val="00604EDE"/>
    <w:rsid w:val="00625808"/>
    <w:rsid w:val="00634C28"/>
    <w:rsid w:val="0064177E"/>
    <w:rsid w:val="00694284"/>
    <w:rsid w:val="00695569"/>
    <w:rsid w:val="00696503"/>
    <w:rsid w:val="006D0B4E"/>
    <w:rsid w:val="006D7386"/>
    <w:rsid w:val="006D7E62"/>
    <w:rsid w:val="006F2C8B"/>
    <w:rsid w:val="00746F43"/>
    <w:rsid w:val="007714A4"/>
    <w:rsid w:val="007759CF"/>
    <w:rsid w:val="00793F45"/>
    <w:rsid w:val="007A2B66"/>
    <w:rsid w:val="007A7539"/>
    <w:rsid w:val="007C2A64"/>
    <w:rsid w:val="007D731F"/>
    <w:rsid w:val="007E3541"/>
    <w:rsid w:val="007F482B"/>
    <w:rsid w:val="007F513A"/>
    <w:rsid w:val="007F7D67"/>
    <w:rsid w:val="00810417"/>
    <w:rsid w:val="00812615"/>
    <w:rsid w:val="0082130C"/>
    <w:rsid w:val="00821CB7"/>
    <w:rsid w:val="008226E5"/>
    <w:rsid w:val="00830604"/>
    <w:rsid w:val="00845FCC"/>
    <w:rsid w:val="00853FAB"/>
    <w:rsid w:val="00856661"/>
    <w:rsid w:val="00887AC2"/>
    <w:rsid w:val="00892006"/>
    <w:rsid w:val="008A098D"/>
    <w:rsid w:val="008A2118"/>
    <w:rsid w:val="008C34A3"/>
    <w:rsid w:val="008C3EBE"/>
    <w:rsid w:val="008D7A2B"/>
    <w:rsid w:val="008E2128"/>
    <w:rsid w:val="008E66FE"/>
    <w:rsid w:val="008F18F1"/>
    <w:rsid w:val="008F56B5"/>
    <w:rsid w:val="00907F08"/>
    <w:rsid w:val="00914694"/>
    <w:rsid w:val="00921D6D"/>
    <w:rsid w:val="00954973"/>
    <w:rsid w:val="009579E6"/>
    <w:rsid w:val="00984B48"/>
    <w:rsid w:val="00987BA3"/>
    <w:rsid w:val="00990947"/>
    <w:rsid w:val="0099769C"/>
    <w:rsid w:val="009B2E0A"/>
    <w:rsid w:val="009C463B"/>
    <w:rsid w:val="009C4D8B"/>
    <w:rsid w:val="009D30CB"/>
    <w:rsid w:val="00A004B1"/>
    <w:rsid w:val="00A0141F"/>
    <w:rsid w:val="00A04819"/>
    <w:rsid w:val="00A13834"/>
    <w:rsid w:val="00A17BAA"/>
    <w:rsid w:val="00A259B7"/>
    <w:rsid w:val="00A3371B"/>
    <w:rsid w:val="00A343D1"/>
    <w:rsid w:val="00A630B6"/>
    <w:rsid w:val="00A655D6"/>
    <w:rsid w:val="00A80471"/>
    <w:rsid w:val="00A8159A"/>
    <w:rsid w:val="00A85DB0"/>
    <w:rsid w:val="00A9388B"/>
    <w:rsid w:val="00A95CE7"/>
    <w:rsid w:val="00AB3C2F"/>
    <w:rsid w:val="00AB3DFA"/>
    <w:rsid w:val="00AF0587"/>
    <w:rsid w:val="00B0390A"/>
    <w:rsid w:val="00B07327"/>
    <w:rsid w:val="00B41186"/>
    <w:rsid w:val="00B45374"/>
    <w:rsid w:val="00B46BA0"/>
    <w:rsid w:val="00B6594C"/>
    <w:rsid w:val="00B66023"/>
    <w:rsid w:val="00B72E2B"/>
    <w:rsid w:val="00B75CA0"/>
    <w:rsid w:val="00B92191"/>
    <w:rsid w:val="00B94219"/>
    <w:rsid w:val="00BB2CEB"/>
    <w:rsid w:val="00BC03EE"/>
    <w:rsid w:val="00BC0FFE"/>
    <w:rsid w:val="00BC4950"/>
    <w:rsid w:val="00BD43AC"/>
    <w:rsid w:val="00BD74C4"/>
    <w:rsid w:val="00C17F9F"/>
    <w:rsid w:val="00C34467"/>
    <w:rsid w:val="00C37775"/>
    <w:rsid w:val="00C41A8D"/>
    <w:rsid w:val="00C677C0"/>
    <w:rsid w:val="00C72612"/>
    <w:rsid w:val="00C9642A"/>
    <w:rsid w:val="00CA3F83"/>
    <w:rsid w:val="00CC4120"/>
    <w:rsid w:val="00CC7D1E"/>
    <w:rsid w:val="00CD7485"/>
    <w:rsid w:val="00CE2765"/>
    <w:rsid w:val="00D0406B"/>
    <w:rsid w:val="00D11B61"/>
    <w:rsid w:val="00D11E0E"/>
    <w:rsid w:val="00D22977"/>
    <w:rsid w:val="00D24CE4"/>
    <w:rsid w:val="00D3225B"/>
    <w:rsid w:val="00D330E1"/>
    <w:rsid w:val="00D330F0"/>
    <w:rsid w:val="00D3428D"/>
    <w:rsid w:val="00D44C0D"/>
    <w:rsid w:val="00D747F4"/>
    <w:rsid w:val="00D74864"/>
    <w:rsid w:val="00D75814"/>
    <w:rsid w:val="00D85716"/>
    <w:rsid w:val="00D9312F"/>
    <w:rsid w:val="00D93C9B"/>
    <w:rsid w:val="00DA381F"/>
    <w:rsid w:val="00DA45B5"/>
    <w:rsid w:val="00DB55B4"/>
    <w:rsid w:val="00DD0B76"/>
    <w:rsid w:val="00DD5C95"/>
    <w:rsid w:val="00DD618D"/>
    <w:rsid w:val="00DD7891"/>
    <w:rsid w:val="00DE38CB"/>
    <w:rsid w:val="00DE66BC"/>
    <w:rsid w:val="00DF71AC"/>
    <w:rsid w:val="00E013EC"/>
    <w:rsid w:val="00E02D00"/>
    <w:rsid w:val="00E03465"/>
    <w:rsid w:val="00E076A5"/>
    <w:rsid w:val="00E141BB"/>
    <w:rsid w:val="00E811C8"/>
    <w:rsid w:val="00E8274A"/>
    <w:rsid w:val="00E86D6E"/>
    <w:rsid w:val="00ED5E9A"/>
    <w:rsid w:val="00EF0C89"/>
    <w:rsid w:val="00F44C8F"/>
    <w:rsid w:val="00F65537"/>
    <w:rsid w:val="00F900D2"/>
    <w:rsid w:val="00FA4605"/>
    <w:rsid w:val="00FA714B"/>
    <w:rsid w:val="00FD143F"/>
    <w:rsid w:val="00FF129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339"/>
  <w15:chartTrackingRefBased/>
  <w15:docId w15:val="{D9B76AA7-E033-42C8-BD19-65CB01F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A8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5DB0"/>
    <w:pPr>
      <w:keepNext/>
      <w:keepLines/>
      <w:numPr>
        <w:numId w:val="1"/>
      </w:numPr>
      <w:spacing w:before="120" w:after="120"/>
      <w:ind w:left="0" w:firstLine="0"/>
      <w:jc w:val="left"/>
      <w:outlineLvl w:val="0"/>
    </w:pPr>
    <w:rPr>
      <w:rFonts w:eastAsiaTheme="majorEastAsia" w:cstheme="majorBidi"/>
      <w:caps/>
      <w:color w:val="0D0D0D" w:themeColor="text1" w:themeTint="F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5808"/>
    <w:pPr>
      <w:keepNext/>
      <w:keepLines/>
      <w:spacing w:before="120" w:after="120"/>
      <w:jc w:val="left"/>
      <w:outlineLvl w:val="1"/>
    </w:pPr>
    <w:rPr>
      <w:rFonts w:eastAsiaTheme="majorEastAsia" w:cstheme="majorBidi"/>
      <w:color w:val="0D0D0D" w:themeColor="text1" w:themeTint="F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DB0"/>
    <w:rPr>
      <w:rFonts w:ascii="Times New Roman" w:eastAsiaTheme="majorEastAsia" w:hAnsi="Times New Roman" w:cstheme="majorBidi"/>
      <w:caps/>
      <w:color w:val="0D0D0D" w:themeColor="text1" w:themeTint="F2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25808"/>
    <w:pPr>
      <w:ind w:firstLine="0"/>
      <w:contextualSpacing/>
      <w:jc w:val="left"/>
    </w:pPr>
    <w:rPr>
      <w:rFonts w:eastAsiaTheme="majorEastAsia" w:cstheme="majorBidi"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5808"/>
    <w:rPr>
      <w:rFonts w:ascii="Times New Roman" w:eastAsiaTheme="majorEastAsia" w:hAnsi="Times New Roman" w:cstheme="majorBidi"/>
      <w:caps/>
      <w:spacing w:val="-10"/>
      <w:kern w:val="28"/>
      <w:sz w:val="24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625808"/>
    <w:rPr>
      <w:rFonts w:ascii="Times New Roman" w:eastAsiaTheme="majorEastAsia" w:hAnsi="Times New Roman" w:cstheme="majorBidi"/>
      <w:color w:val="0D0D0D" w:themeColor="text1" w:themeTint="F2"/>
      <w:sz w:val="24"/>
      <w:szCs w:val="26"/>
    </w:rPr>
  </w:style>
  <w:style w:type="paragraph" w:styleId="PargrafodaLista">
    <w:name w:val="List Paragraph"/>
    <w:basedOn w:val="Normal"/>
    <w:uiPriority w:val="34"/>
    <w:qFormat/>
    <w:rsid w:val="0062580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47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47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47E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7E6"/>
    <w:rPr>
      <w:rFonts w:ascii="Times New Roman" w:hAnsi="Times New Roman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5DB0"/>
    <w:pPr>
      <w:numPr>
        <w:numId w:val="2"/>
      </w:numPr>
      <w:spacing w:before="120" w:after="120"/>
      <w:jc w:val="left"/>
    </w:pPr>
    <w:rPr>
      <w:rFonts w:eastAsiaTheme="minorEastAsia"/>
      <w:color w:val="0D0D0D" w:themeColor="text1" w:themeTint="F2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85DB0"/>
    <w:rPr>
      <w:rFonts w:ascii="Times New Roman" w:eastAsiaTheme="minorEastAsia" w:hAnsi="Times New Roman"/>
      <w:color w:val="0D0D0D" w:themeColor="text1" w:themeTint="F2"/>
      <w:spacing w:val="15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604EDE"/>
    <w:pPr>
      <w:spacing w:before="120" w:line="240" w:lineRule="auto"/>
      <w:ind w:firstLine="0"/>
    </w:pPr>
    <w:rPr>
      <w:iCs/>
      <w:color w:val="0D0D0D" w:themeColor="text1" w:themeTint="F2"/>
      <w:szCs w:val="18"/>
    </w:rPr>
  </w:style>
  <w:style w:type="character" w:styleId="Hyperlink">
    <w:name w:val="Hyperlink"/>
    <w:basedOn w:val="Fontepargpadro"/>
    <w:uiPriority w:val="99"/>
    <w:semiHidden/>
    <w:unhideWhenUsed/>
    <w:rsid w:val="00821CB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9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72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478/johh-2022-0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036E-AF06-4481-97C8-DBA19580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14</Pages>
  <Words>2546</Words>
  <Characters>14465</Characters>
  <Application>Microsoft Office Word</Application>
  <DocSecurity>0</DocSecurity>
  <Lines>258</Lines>
  <Paragraphs>109</Paragraphs>
  <ScaleCrop>false</ScaleCrop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Iêdo Teodoro</dc:creator>
  <cp:keywords/>
  <dc:description/>
  <cp:lastModifiedBy>Iêdo Teodoro</cp:lastModifiedBy>
  <cp:revision>237</cp:revision>
  <dcterms:created xsi:type="dcterms:W3CDTF">2023-11-21T13:17:00Z</dcterms:created>
  <dcterms:modified xsi:type="dcterms:W3CDTF">2023-12-04T23:09:00Z</dcterms:modified>
</cp:coreProperties>
</file>