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7768" w14:textId="77777777" w:rsidR="00156F71" w:rsidRDefault="00C8675E">
      <w:pPr>
        <w:rPr>
          <w:rFonts w:ascii="Times New Roman" w:hAnsi="Times New Roman" w:cs="Times New Roman"/>
        </w:rPr>
      </w:pPr>
      <w:r w:rsidRPr="00C8675E">
        <w:rPr>
          <w:rFonts w:ascii="Times New Roman" w:hAnsi="Times New Roman" w:cs="Times New Roman"/>
          <w:b/>
        </w:rPr>
        <w:t>Resumo</w:t>
      </w:r>
      <w:r>
        <w:rPr>
          <w:rFonts w:ascii="Times New Roman" w:hAnsi="Times New Roman" w:cs="Times New Roman"/>
        </w:rPr>
        <w:t xml:space="preserve"> de </w:t>
      </w:r>
      <w:r w:rsidRPr="00C8675E">
        <w:rPr>
          <w:rFonts w:ascii="Times New Roman" w:hAnsi="Times New Roman" w:cs="Times New Roman"/>
          <w:i/>
        </w:rPr>
        <w:t>Cultured Monkeys. Social Learning Cast in Stones</w:t>
      </w:r>
      <w:r>
        <w:rPr>
          <w:rFonts w:ascii="Times New Roman" w:hAnsi="Times New Roman" w:cs="Times New Roman"/>
        </w:rPr>
        <w:t>, por Huffman, Nahallage e Leca. 2008.</w:t>
      </w:r>
    </w:p>
    <w:p w14:paraId="6200A36D" w14:textId="77777777" w:rsidR="00C8675E" w:rsidRDefault="00C8675E">
      <w:pPr>
        <w:rPr>
          <w:rFonts w:ascii="Times New Roman" w:hAnsi="Times New Roman" w:cs="Times New Roman"/>
        </w:rPr>
      </w:pPr>
    </w:p>
    <w:p w14:paraId="1DEBB53E" w14:textId="003063F4" w:rsidR="00C8675E" w:rsidRDefault="00693506" w:rsidP="00EB7E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conceito de cultura em animais, proposto por Kinji Imanishi em 1952, previa presença de cultura em todos animais sociais, e foi confirmado logo depois pela observação em macacos japoneses.</w:t>
      </w:r>
      <w:r w:rsidR="00B872E6">
        <w:rPr>
          <w:rFonts w:ascii="Times New Roman" w:hAnsi="Times New Roman" w:cs="Times New Roman"/>
        </w:rPr>
        <w:t xml:space="preserve"> Enquanto evidências surgem quanto à presença de aprendizado social e cultura em várias espécies, e determinantes do comportamento cultural são estudados e observados, o artigo aborda uma até então ausente estrutura integrativa de aprendizado social que aborde todos esses fatores.</w:t>
      </w:r>
    </w:p>
    <w:p w14:paraId="08DEEB0D" w14:textId="00B4C40D" w:rsidR="002D4DC3" w:rsidRDefault="00EB7E77" w:rsidP="00EB7E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estudo de manipulação de pedras por macacos japoneses foi o primeiro a integrar todos os determinantes de aprendizado social, e mostrar, em primeiro lugar, como a informação baseada na inovação é transmitida – pela observação – e em segundo lugar, entre quem a informação é passada. Além do aspecto social, que ressalta a observação, a proximidade, a tolerância entre aqueles que exibem o comportamento e os que recebem a informação, o estudo destaca as influências de desenvolvimento, demográficas e ambientais que, juntamente com a influência social, afetam a eficiência, velocidade e difusão do aprendizado.</w:t>
      </w:r>
    </w:p>
    <w:p w14:paraId="204CF7B9" w14:textId="3AF5B3B4" w:rsidR="0057538D" w:rsidRDefault="005646CE" w:rsidP="00B63A6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Foram observados 45 </w:t>
      </w:r>
      <w:r w:rsidR="00377267">
        <w:rPr>
          <w:rFonts w:ascii="Times New Roman" w:hAnsi="Times New Roman" w:cs="Times New Roman"/>
        </w:rPr>
        <w:t>tipos de manipulação de pedras</w:t>
      </w:r>
      <w:r w:rsidR="00BF2510">
        <w:rPr>
          <w:rFonts w:ascii="Times New Roman" w:hAnsi="Times New Roman" w:cs="Times New Roman"/>
        </w:rPr>
        <w:t xml:space="preserve"> (MP)</w:t>
      </w:r>
      <w:r w:rsidR="00377267">
        <w:rPr>
          <w:rFonts w:ascii="Times New Roman" w:hAnsi="Times New Roman" w:cs="Times New Roman"/>
        </w:rPr>
        <w:t xml:space="preserve"> em 4 grupos captivos e 6 grupos alimentados de livre deslocamento em macacos japoneses.</w:t>
      </w:r>
      <w:r w:rsidR="00BF2510">
        <w:rPr>
          <w:rFonts w:ascii="Times New Roman" w:hAnsi="Times New Roman" w:cs="Times New Roman"/>
        </w:rPr>
        <w:t xml:space="preserve"> </w:t>
      </w:r>
      <w:r w:rsidR="0057538D">
        <w:rPr>
          <w:rFonts w:ascii="Times New Roman" w:hAnsi="Times New Roman" w:cs="Times New Roman"/>
        </w:rPr>
        <w:t xml:space="preserve">A forma de difusão de MP começa pelas mães, que os transmitem aos filhos. Num estudo com 48 macacos em Kyoto, de 16 pares de mães-filhos todos menos um </w:t>
      </w:r>
      <w:r w:rsidR="00D52802">
        <w:rPr>
          <w:rFonts w:ascii="Times New Roman" w:hAnsi="Times New Roman" w:cs="Times New Roman"/>
        </w:rPr>
        <w:t>demonstram que o filhote começa a MP nos primeiros 6 meses.</w:t>
      </w:r>
    </w:p>
    <w:p w14:paraId="7299A6EE" w14:textId="6886D01F" w:rsidR="00357623" w:rsidRDefault="00357623" w:rsidP="00EB7E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formas de variação do comportamento de MP puderam ser comparadas pelo estudo de 10 grupos de macacos japoneses.</w:t>
      </w:r>
      <w:r w:rsidR="003134BF">
        <w:rPr>
          <w:rFonts w:ascii="Times New Roman" w:hAnsi="Times New Roman" w:cs="Times New Roman"/>
        </w:rPr>
        <w:t xml:space="preserve"> A proximidade geográfica parece explicar bastante a similaridade cultural, e disso é proposto o fenômeno de zonas culturais.</w:t>
      </w:r>
      <w:r w:rsidR="00B63A6A">
        <w:rPr>
          <w:rFonts w:ascii="Times New Roman" w:hAnsi="Times New Roman" w:cs="Times New Roman"/>
        </w:rPr>
        <w:t xml:space="preserve"> A coesão do grupo foi testada como hipótese de MP, e parece explicar o comportamento não pela tolerância, mas pelo tamanho do grupo e sua coesão espacial</w:t>
      </w:r>
      <w:r w:rsidR="00BF5CD8">
        <w:rPr>
          <w:rFonts w:ascii="Times New Roman" w:hAnsi="Times New Roman" w:cs="Times New Roman"/>
        </w:rPr>
        <w:t xml:space="preserve"> – grandes grupos que se alimentam juntos proximamente tendem a ter mais membros exibindo o comportamento.</w:t>
      </w:r>
    </w:p>
    <w:p w14:paraId="5EF79A49" w14:textId="322BA8E0" w:rsidR="00796E75" w:rsidRDefault="00796E75" w:rsidP="00EB7E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Comparando os mesmos grupos em Arashiyama e Takasakiyama, 13 e 15 anos depois, percebe-se como</w:t>
      </w:r>
      <w:r w:rsidR="00720668">
        <w:rPr>
          <w:rFonts w:ascii="Times New Roman" w:hAnsi="Times New Roman" w:cs="Times New Roman"/>
        </w:rPr>
        <w:t xml:space="preserve"> a diversidade e complexidade de comportamentos aumentam. Isto pode revelar a transformação de usos não-instrumentais em usos instrumentais como ferramentas, algo </w:t>
      </w:r>
      <w:r w:rsidR="00923105">
        <w:rPr>
          <w:rFonts w:ascii="Times New Roman" w:hAnsi="Times New Roman" w:cs="Times New Roman"/>
        </w:rPr>
        <w:t>já indicado e que deve</w:t>
      </w:r>
      <w:r w:rsidR="00720668">
        <w:rPr>
          <w:rFonts w:ascii="Times New Roman" w:hAnsi="Times New Roman" w:cs="Times New Roman"/>
        </w:rPr>
        <w:t xml:space="preserve"> ser melhor estudado.</w:t>
      </w:r>
    </w:p>
    <w:p w14:paraId="16EB17CC" w14:textId="0D257CF2" w:rsidR="00521FBC" w:rsidRDefault="00082479" w:rsidP="00EB7E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estudo de comportamento MP contribui para explicar as dinâmicas da difusão do aprendizado e da transmissão comportamental entre gerações.</w:t>
      </w:r>
      <w:r w:rsidR="00521FBC">
        <w:rPr>
          <w:rFonts w:ascii="Times New Roman" w:hAnsi="Times New Roman" w:cs="Times New Roman"/>
        </w:rPr>
        <w:br w:type="page"/>
      </w:r>
    </w:p>
    <w:p w14:paraId="723704F6" w14:textId="2840DFBD" w:rsidR="00082479" w:rsidRDefault="00977992" w:rsidP="00EB7E77">
      <w:pPr>
        <w:spacing w:line="360" w:lineRule="auto"/>
        <w:ind w:firstLine="720"/>
        <w:rPr>
          <w:rFonts w:ascii="Times New Roman" w:hAnsi="Times New Roman" w:cs="Times New Roman"/>
        </w:rPr>
      </w:pPr>
      <w:r w:rsidRPr="00977992">
        <w:rPr>
          <w:rFonts w:ascii="Times New Roman" w:hAnsi="Times New Roman" w:cs="Times New Roman"/>
          <w:b/>
        </w:rPr>
        <w:lastRenderedPageBreak/>
        <w:t>Questões</w:t>
      </w:r>
      <w:r>
        <w:rPr>
          <w:rFonts w:ascii="Times New Roman" w:hAnsi="Times New Roman" w:cs="Times New Roman"/>
        </w:rPr>
        <w:t xml:space="preserve"> para o artigo </w:t>
      </w:r>
      <w:r w:rsidRPr="00977992">
        <w:rPr>
          <w:rFonts w:ascii="Times New Roman" w:hAnsi="Times New Roman" w:cs="Times New Roman"/>
          <w:i/>
        </w:rPr>
        <w:t>Cultural Niche Construction</w:t>
      </w:r>
      <w:r>
        <w:rPr>
          <w:rFonts w:ascii="Times New Roman" w:hAnsi="Times New Roman" w:cs="Times New Roman"/>
        </w:rPr>
        <w:t>, de Laland e O’Brien. 2012.</w:t>
      </w:r>
    </w:p>
    <w:p w14:paraId="5BD4157F" w14:textId="77777777" w:rsidR="00977992" w:rsidRDefault="00977992" w:rsidP="00EB7E77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71FAE7BB" w14:textId="02BB3B0E" w:rsidR="005C4877" w:rsidRPr="005C4877" w:rsidRDefault="00AD369D" w:rsidP="005C48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C4877" w:rsidRPr="005C4877">
        <w:rPr>
          <w:rFonts w:ascii="Times New Roman" w:hAnsi="Times New Roman" w:cs="Times New Roman"/>
        </w:rPr>
        <w:t>Os autores argumentam</w:t>
      </w:r>
      <w:r w:rsidR="00E53692">
        <w:rPr>
          <w:rFonts w:ascii="Times New Roman" w:hAnsi="Times New Roman" w:cs="Times New Roman"/>
        </w:rPr>
        <w:t>, na seção que trata dos múltiplos processos responsáveis pela construção de nichos,</w:t>
      </w:r>
      <w:r w:rsidR="005C4877" w:rsidRPr="005C4877">
        <w:rPr>
          <w:rFonts w:ascii="Times New Roman" w:hAnsi="Times New Roman" w:cs="Times New Roman"/>
        </w:rPr>
        <w:t xml:space="preserve"> que herdamos as informações genéticas mais relevantes dos nossos antepassados, mas que existem processos suplementares, alvos de seleção, que permitem que o indivíduo apresente maior flexibilidade na adaptação a mudanças durante seu desenvolvimento.</w:t>
      </w:r>
    </w:p>
    <w:p w14:paraId="4198EA78" w14:textId="77777777" w:rsidR="005C4877" w:rsidRPr="005C4877" w:rsidRDefault="005C4877" w:rsidP="005C4877">
      <w:pPr>
        <w:spacing w:line="360" w:lineRule="auto"/>
        <w:ind w:firstLine="720"/>
        <w:rPr>
          <w:rFonts w:ascii="Times New Roman" w:hAnsi="Times New Roman" w:cs="Times New Roman"/>
        </w:rPr>
      </w:pPr>
      <w:r w:rsidRPr="005C4877">
        <w:rPr>
          <w:rFonts w:ascii="Times New Roman" w:hAnsi="Times New Roman" w:cs="Times New Roman"/>
        </w:rPr>
        <w:t>Esses seriam produtos de seleção não-usuais, que acumulam informações dos ambientes locais, e o aprendizado mediado pelo cérebro seria um desses processos.</w:t>
      </w:r>
    </w:p>
    <w:p w14:paraId="2267C90C" w14:textId="77777777" w:rsidR="005C4877" w:rsidRPr="005C4877" w:rsidRDefault="005C4877" w:rsidP="005C4877">
      <w:pPr>
        <w:spacing w:line="360" w:lineRule="auto"/>
        <w:ind w:firstLine="720"/>
        <w:rPr>
          <w:rFonts w:ascii="Times New Roman" w:hAnsi="Times New Roman" w:cs="Times New Roman"/>
        </w:rPr>
      </w:pPr>
      <w:r w:rsidRPr="005C4877">
        <w:rPr>
          <w:rFonts w:ascii="Times New Roman" w:hAnsi="Times New Roman" w:cs="Times New Roman"/>
        </w:rPr>
        <w:t>Não entendi muito bem porque separar essa dimensão? Não estaria contemplada nos “processos ontogenéticos”?</w:t>
      </w:r>
    </w:p>
    <w:p w14:paraId="7249A00C" w14:textId="356B3B05" w:rsidR="00977992" w:rsidRDefault="005C4877" w:rsidP="005C4877">
      <w:pPr>
        <w:spacing w:line="360" w:lineRule="auto"/>
        <w:ind w:firstLine="720"/>
        <w:rPr>
          <w:rFonts w:ascii="Times New Roman" w:hAnsi="Times New Roman" w:cs="Times New Roman"/>
        </w:rPr>
      </w:pPr>
      <w:r w:rsidRPr="005C4877">
        <w:rPr>
          <w:rFonts w:ascii="Times New Roman" w:hAnsi="Times New Roman" w:cs="Times New Roman"/>
        </w:rPr>
        <w:t>Na sequência os autores colocam padrões de comportamento como participante dos processos ontogenéticos.</w:t>
      </w:r>
    </w:p>
    <w:p w14:paraId="03E63D23" w14:textId="77777777" w:rsidR="008A193B" w:rsidRDefault="008A193B" w:rsidP="005C4877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282BBA49" w14:textId="5ABEB2E9" w:rsidR="008A193B" w:rsidRDefault="008A193B" w:rsidP="005C48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33CC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interação entre os três domínios (processos genéticos, ontogenéticos e culturais), que ocorrem no nível populacional, com a construção de nichos são, nos três casos, individuais?</w:t>
      </w:r>
      <w:r w:rsidR="00033CC1">
        <w:rPr>
          <w:rFonts w:ascii="Times New Roman" w:hAnsi="Times New Roman" w:cs="Times New Roman"/>
        </w:rPr>
        <w:t xml:space="preserve"> Ver as três setas tracejadas que vão dos três domínios na população de humanos para o ambiente, especificamente “cultural niche construction”, “ontogenetic </w:t>
      </w:r>
      <w:r w:rsidR="00033CC1">
        <w:rPr>
          <w:rFonts w:ascii="Times New Roman" w:hAnsi="Times New Roman" w:cs="Times New Roman"/>
        </w:rPr>
        <w:t>niche construction”</w:t>
      </w:r>
      <w:r w:rsidR="00033CC1">
        <w:rPr>
          <w:rFonts w:ascii="Times New Roman" w:hAnsi="Times New Roman" w:cs="Times New Roman"/>
        </w:rPr>
        <w:t xml:space="preserve"> e “gene-based </w:t>
      </w:r>
      <w:r w:rsidR="00033CC1">
        <w:rPr>
          <w:rFonts w:ascii="Times New Roman" w:hAnsi="Times New Roman" w:cs="Times New Roman"/>
        </w:rPr>
        <w:t>niche construction”</w:t>
      </w:r>
      <w:r w:rsidR="00033CC1">
        <w:rPr>
          <w:rFonts w:ascii="Times New Roman" w:hAnsi="Times New Roman" w:cs="Times New Roman"/>
        </w:rPr>
        <w:t>.</w:t>
      </w:r>
    </w:p>
    <w:p w14:paraId="1EFA4404" w14:textId="77777777" w:rsidR="00B30634" w:rsidRDefault="00B30634" w:rsidP="005C4877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021017B6" w14:textId="736E86A6" w:rsidR="00B30634" w:rsidRDefault="00B30634" w:rsidP="005C48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As “smart variants” (Laland etal 2000) servem para explicar que, enquanto mutações são aleatórias, os processos ontogenéticos não são. Jablonka estende o conceito de “smart variants” para o nível também genético, com as “patterned variation”.</w:t>
      </w:r>
      <w:r w:rsidR="00090AE5">
        <w:rPr>
          <w:rFonts w:ascii="Times New Roman" w:hAnsi="Times New Roman" w:cs="Times New Roman"/>
        </w:rPr>
        <w:t xml:space="preserve"> </w:t>
      </w:r>
      <w:r w:rsidR="005B620F">
        <w:rPr>
          <w:rFonts w:ascii="Times New Roman" w:hAnsi="Times New Roman" w:cs="Times New Roman"/>
        </w:rPr>
        <w:t>Laland e O’Brien não concordam com Jablonka?</w:t>
      </w:r>
    </w:p>
    <w:p w14:paraId="24118821" w14:textId="77777777" w:rsidR="00E20EC4" w:rsidRDefault="00E20EC4" w:rsidP="005C4877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4FA01269" w14:textId="51558AB2" w:rsidR="00E20EC4" w:rsidRDefault="00E20EC4" w:rsidP="005C48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Se fôssemos usar o esquema de interpretação adotado por Laland e O’Brien, especificamente em sua figura 3, e pensar em tradições para se encaixar nesses esquema, ela entraria numa interação entre processos ontogenéticos e culturais, e entre estes e o ambiente?</w:t>
      </w:r>
    </w:p>
    <w:p w14:paraId="59B6BA56" w14:textId="2623E048" w:rsidR="001D4F92" w:rsidRPr="00F1733F" w:rsidRDefault="001D4F92" w:rsidP="005C487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 pra imaginar que quando os autores falam (página 7) de que “niche construction that is based on either learned or culturally transmitted information may be expressed ‘intentionally’ relative to a specific goal” enquanto outros processos culturais são menos direcionados, eles estão, de certa forma, colocando tradições entre processos intencionais direcionados?</w:t>
      </w:r>
      <w:bookmarkStart w:id="0" w:name="_GoBack"/>
      <w:bookmarkEnd w:id="0"/>
    </w:p>
    <w:sectPr w:rsidR="001D4F92" w:rsidRPr="00F1733F" w:rsidSect="00F1733F">
      <w:pgSz w:w="11900" w:h="16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3F"/>
    <w:rsid w:val="00033CC1"/>
    <w:rsid w:val="00082479"/>
    <w:rsid w:val="00090AE5"/>
    <w:rsid w:val="00156F71"/>
    <w:rsid w:val="001D4F92"/>
    <w:rsid w:val="002D4DC3"/>
    <w:rsid w:val="003134BF"/>
    <w:rsid w:val="00357623"/>
    <w:rsid w:val="00377267"/>
    <w:rsid w:val="00521FBC"/>
    <w:rsid w:val="005646CE"/>
    <w:rsid w:val="0057538D"/>
    <w:rsid w:val="005B620F"/>
    <w:rsid w:val="005C4877"/>
    <w:rsid w:val="00693506"/>
    <w:rsid w:val="00720668"/>
    <w:rsid w:val="00796E75"/>
    <w:rsid w:val="008A193B"/>
    <w:rsid w:val="00923105"/>
    <w:rsid w:val="00977992"/>
    <w:rsid w:val="00AD369D"/>
    <w:rsid w:val="00B30634"/>
    <w:rsid w:val="00B63A6A"/>
    <w:rsid w:val="00B872E6"/>
    <w:rsid w:val="00BF2510"/>
    <w:rsid w:val="00BF5CD8"/>
    <w:rsid w:val="00C8675E"/>
    <w:rsid w:val="00D52802"/>
    <w:rsid w:val="00E20EC4"/>
    <w:rsid w:val="00E53692"/>
    <w:rsid w:val="00EB7E77"/>
    <w:rsid w:val="00F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FF9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DE37F-B95D-BD40-A877-E851CF3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687</Words>
  <Characters>3918</Characters>
  <Application>Microsoft Macintosh Word</Application>
  <DocSecurity>0</DocSecurity>
  <Lines>32</Lines>
  <Paragraphs>9</Paragraphs>
  <ScaleCrop>false</ScaleCrop>
  <Company>FEA USP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Barana</dc:creator>
  <cp:keywords/>
  <dc:description/>
  <cp:lastModifiedBy>Richard Barana</cp:lastModifiedBy>
  <cp:revision>27</cp:revision>
  <dcterms:created xsi:type="dcterms:W3CDTF">2022-05-02T13:03:00Z</dcterms:created>
  <dcterms:modified xsi:type="dcterms:W3CDTF">2022-05-04T14:40:00Z</dcterms:modified>
</cp:coreProperties>
</file>